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227.png" ContentType="image/png"/>
  <Override PartName="/word/media/rId233.png" ContentType="image/png"/>
  <Override PartName="/word/media/rId66.png" ContentType="image/png"/>
  <Override PartName="/word/media/rId69.png" ContentType="image/png"/>
  <Override PartName="/word/media/rId72.png" ContentType="image/png"/>
  <Override PartName="/word/media/rId76.png" ContentType="image/png"/>
  <Override PartName="/word/media/rId253.png" ContentType="image/png"/>
  <Override PartName="/word/media/rId256.png" ContentType="image/png"/>
  <Override PartName="/word/media/rId259.png" ContentType="image/png"/>
  <Override PartName="/word/media/rId50.png" ContentType="image/png"/>
  <Override PartName="/word/media/rId53.png" ContentType="image/png"/>
  <Override PartName="/word/media/rId56.png" ContentType="image/png"/>
  <Override PartName="/word/media/rId263.png" ContentType="image/png"/>
  <Override PartName="/word/media/rId266.png" ContentType="image/png"/>
  <Override PartName="/word/media/rId269.png" ContentType="image/png"/>
  <Override PartName="/word/media/rId61.png" ContentType="image/png"/>
  <Override PartName="/word/media/rId273.png" ContentType="image/png"/>
  <Override PartName="/word/media/rId276.png" ContentType="image/png"/>
  <Override PartName="/word/media/rId279.png" ContentType="image/png"/>
  <Override PartName="/word/media/rId284.png" ContentType="image/png"/>
  <Override PartName="/word/media/rId287.png" ContentType="image/png"/>
  <Override PartName="/word/media/rId2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2025-08-07</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2024)</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et al., 2024b)</w:t>
      </w:r>
      <w:r>
        <w:t xml:space="preserve"> </w:t>
      </w:r>
      <w:r>
        <w:t xml:space="preserve">interrupted pupils’ learning</w:t>
      </w:r>
      <w:r>
        <w:t xml:space="preserve"> </w:t>
      </w:r>
      <w:r>
        <w:t xml:space="preserve">(Jakubowski et al., 2025)</w:t>
      </w:r>
      <w:r>
        <w:t xml:space="preserve"> </w:t>
      </w:r>
      <w:r>
        <w:t xml:space="preserve">and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2024;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wellbeing increasing and decreasing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including those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and ethnicity</w:t>
      </w:r>
      <w:r>
        <w:t xml:space="preserve"> </w:t>
      </w:r>
      <w:r>
        <w:t xml:space="preserve">(e.g., Proto &amp; Quintana-Domeque, 2021)</w:t>
      </w:r>
      <w:r>
        <w:t xml:space="preserve">.</w:t>
      </w:r>
      <w:r>
        <w:t xml:space="preserve"> </w:t>
      </w:r>
      <w:r>
        <w:t xml:space="preserve">Wolf &amp; Schmitz (2024)</w:t>
      </w:r>
      <w:r>
        <w:t xml:space="preserve"> </w:t>
      </w:r>
      <w:r>
        <w:t xml:space="preserve">finds that older adolescents were particularly affected, perhaps as these are such formative years for social relationships and critical years for education and subsequent transitions.</w:t>
      </w:r>
    </w:p>
    <w:p>
      <w:pPr>
        <w:pStyle w:val="BodyText"/>
      </w:pPr>
      <w:r>
        <w:t xml:space="preserve">Variation in experiences and support during the pandemic has also been found to be important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are likely to have exacerbated the prevalence of adverse life events that previous studies have shown affect wellbeing</w:t>
      </w:r>
      <w:r>
        <w:t xml:space="preserve"> </w:t>
      </w:r>
      <w:r>
        <w:t xml:space="preserve">(Cleland et al., 2016)</w:t>
      </w:r>
      <w:r>
        <w:t xml:space="preserve">. Conversely, social support has been identified as a potential buffer to negative impacts</w:t>
      </w:r>
      <w:r>
        <w:t xml:space="preserve"> </w:t>
      </w:r>
      <w:r>
        <w:t xml:space="preserve">(Demaray et al., 2005; Racine et al., 2021; Siedlecki et al., 2014)</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important, we should be especially concerned if the impacts of the pandemic have continued to affect young people’s lives, including their subjective wellbeing, once restrictions ended. Concern was expressed from early in the pandemic that its negative effects on wellbeing would persist</w:t>
      </w:r>
      <w:r>
        <w:t xml:space="preserve"> </w:t>
      </w:r>
      <w:r>
        <w:t xml:space="preserve">(Sonuga-Barke &amp; Fearon, 2021)</w:t>
      </w:r>
      <w:r>
        <w:t xml:space="preserve">, something that has been identified in some</w:t>
      </w:r>
      <w:r>
        <w:t xml:space="preserve"> </w:t>
      </w:r>
      <w:r>
        <w:t xml:space="preserve">(Quintana-Domeque &amp; Proto, 2022)</w:t>
      </w:r>
      <w:r>
        <w:t xml:space="preserve"> </w:t>
      </w:r>
      <w:r>
        <w:t xml:space="preserve">but not all</w:t>
      </w:r>
      <w:r>
        <w:t xml:space="preserve"> </w:t>
      </w:r>
      <w:r>
        <w:t xml:space="preserve">(Henseke &amp; Schoon, 2025)</w:t>
      </w:r>
      <w:r>
        <w:t xml:space="preserve"> </w:t>
      </w:r>
      <w:r>
        <w:t xml:space="preserve">studies of the general population. We explore the extent to which young people’s own perceptions of the ongoing impact of the pandemic on their wellbeing are associated with their post-pandemic subjective wellbeing, following in the spirit of research that seeks to understand the informational value of individuals’ own asssessments of their situation</w:t>
      </w:r>
      <w:r>
        <w:t xml:space="preserve"> </w:t>
      </w:r>
      <w:r>
        <w:t xml:space="preserve">(e.g. Fernandez-Urbano &amp; Samuel, 2024 on perceived coping with the context of the pandemic)</w:t>
      </w:r>
      <w:r>
        <w:t xml:space="preserve">.</w:t>
      </w:r>
    </w:p>
    <w:p>
      <w:pPr>
        <w:pStyle w:val="BodyText"/>
      </w:pPr>
      <w:r>
        <w:t xml:space="preserve">Moreover, we should care about inequalities in young people’s wellbeing whether or not these are (entirely) due to the pandemic. Indeed, we may be more concerned about the persistence of inequalities that pre-date the pandemic — including in gender</w:t>
      </w:r>
      <w:r>
        <w:t xml:space="preserve"> </w:t>
      </w:r>
      <w:r>
        <w:t xml:space="preserve">(Yoon et al., 2023)</w:t>
      </w:r>
      <w:r>
        <w:t xml:space="preserve"> </w:t>
      </w:r>
      <w:r>
        <w:t xml:space="preserve">and socioeconomic status</w:t>
      </w:r>
      <w:r>
        <w:t xml:space="preserve"> </w:t>
      </w:r>
      <w:r>
        <w:t xml:space="preserve">(Verhulst &amp; Tiemeier, 2020)</w:t>
      </w:r>
      <w:r>
        <w:t xml:space="preserve"> </w:t>
      </w:r>
      <w:r>
        <w:t xml:space="preserve">— for which there is no particular reason to expect them to subside. As such, taking stock of the current situation is important in its own right given correlation between subjective wellbeing and later economic and wider outcomes</w:t>
      </w:r>
      <w:r>
        <w:t xml:space="preserve"> </w:t>
      </w:r>
      <w:r>
        <w:t xml:space="preserve">(Deaton, 2008; Lyubomirsky et al., 2005)</w:t>
      </w:r>
      <w:r>
        <w:t xml:space="preserve">.</w:t>
      </w:r>
    </w:p>
    <w:p>
      <w:pPr>
        <w:pStyle w:val="BodyText"/>
      </w:pPr>
      <w:r>
        <w:t xml:space="preserve">In our analyses of these issues, we are guided by Social Production Function (SPF) theory</w:t>
      </w:r>
      <w:r>
        <w:t xml:space="preserve"> </w:t>
      </w:r>
      <w:r>
        <w:t xml:space="preserve">(Ormel et al., 1999)</w:t>
      </w:r>
      <w:r>
        <w:t xml:space="preserve">, which enumerates five components contributing to subjective well-being: stimulation, comfort, status, behavioural confirmation, and affection. While this study does not engage individually with all five factors, SPF nevertheless provides a helpful framework, including in distinguishing between long-term factors such as status, linked with socioeconomic and demographic characteristics, and more acute potential impacts of changes to stimulation, comfort and affection presented by the disruption of the pandemic and specific events during its course. Furthermore, the potential buffering role of social support can be seen as integral to the SPF components of status and affection. Focussing particularly on the context of the COVID-19 pandemic,</w:t>
      </w:r>
      <w:r>
        <w:t xml:space="preserve"> </w:t>
      </w:r>
      <w:r>
        <w:t xml:space="preserve">Chesters (2025)</w:t>
      </w:r>
      <w:r>
        <w:t xml:space="preserve"> </w:t>
      </w:r>
      <w:r>
        <w:t xml:space="preserve">posit that its restrictions may have negatively affected young people’s access to affection, when not able to spend time with friends and extended family; stimulation, due to restrictions on activities; comfort, both material through potential financial distress, and emotional through adverse life events; and behavioural confirmation, through the disruption to routines and societal expectations.</w:t>
      </w:r>
    </w:p>
    <w:p>
      <w:pPr>
        <w:pStyle w:val="BodyText"/>
      </w:pPr>
      <w:r>
        <w:t xml:space="preserve">Using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we provide new evidence regarding these issues, specifically through the following research aims:</w:t>
      </w:r>
    </w:p>
    <w:p>
      <w:pPr>
        <w:pStyle w:val="Compact"/>
        <w:numPr>
          <w:ilvl w:val="0"/>
          <w:numId w:val="1001"/>
        </w:numPr>
      </w:pPr>
      <w:r>
        <w:t xml:space="preserve">to estimate differences in post-pandemic wellbeing among this cohort by demographic characteristics;</w:t>
      </w:r>
    </w:p>
    <w:p>
      <w:pPr>
        <w:pStyle w:val="Compact"/>
        <w:numPr>
          <w:ilvl w:val="0"/>
          <w:numId w:val="1001"/>
        </w:numPr>
      </w:pPr>
      <w:r>
        <w:t xml:space="preserve">to validate and quantify the informational value of young people’s own perceptions of the impact of the pandemic on their wellbeing, along with the extent to which this may be explained by differences in social support and;</w:t>
      </w:r>
    </w:p>
    <w:p>
      <w:pPr>
        <w:pStyle w:val="Compact"/>
        <w:numPr>
          <w:ilvl w:val="0"/>
          <w:numId w:val="1001"/>
        </w:numPr>
      </w:pPr>
      <w:r>
        <w:t xml:space="preserve">to explore the role of adverse experiences during the pandemic in explaining differences in post-pandemic wellbeing, again accounting for the potential importance of differences in social support.</w:t>
      </w:r>
    </w:p>
    <w:p>
      <w:pPr>
        <w:pStyle w:val="FirstParagraph"/>
      </w:pPr>
      <w:r>
        <w:t xml:space="preserve">The paper proceeds as follows. In</w:t>
      </w:r>
      <w:r>
        <w:t xml:space="preserve"> </w:t>
      </w:r>
      <w:hyperlink w:anchor="sec-data">
        <w:r>
          <w:rPr>
            <w:rStyle w:val="Hyperlink"/>
          </w:rPr>
          <w:t xml:space="preserve">Section 2</w:t>
        </w:r>
      </w:hyperlink>
      <w:r>
        <w:t xml:space="preserve">, we describe the data that we use, the steps taken to prepare it for analysis, and conduct descriptive analyses to provide initial evidence on our research aims. In</w:t>
      </w:r>
      <w:r>
        <w:t xml:space="preserve"> </w:t>
      </w:r>
      <w:hyperlink w:anchor="sec-regression">
        <w:r>
          <w:rPr>
            <w:rStyle w:val="Hyperlink"/>
          </w:rPr>
          <w:t xml:space="preserve">Section 3</w:t>
        </w:r>
      </w:hyperlink>
      <w:r>
        <w:t xml:space="preserve">, we describe our use of regression modelling, presenting results in</w:t>
      </w:r>
      <w:r>
        <w:t xml:space="preserve"> </w:t>
      </w:r>
      <w:hyperlink w:anchor="sec-results">
        <w:r>
          <w:rPr>
            <w:rStyle w:val="Hyperlink"/>
          </w:rPr>
          <w:t xml:space="preserve">Section 4</w:t>
        </w:r>
      </w:hyperlink>
      <w:r>
        <w:t xml:space="preserve">. Finally, we discuss our findings and conclude in</w:t>
      </w:r>
      <w:r>
        <w:t xml:space="preserve"> </w:t>
      </w:r>
      <w:hyperlink w:anchor="sec-discussion">
        <w:r>
          <w:rPr>
            <w:rStyle w:val="Hyperlink"/>
          </w:rPr>
          <w:t xml:space="preserve">Section 5</w:t>
        </w:r>
      </w:hyperlink>
      <w:r>
        <w:t xml:space="preserve">, noting implications for policy and practice.</w:t>
      </w:r>
    </w:p>
    <w:bookmarkEnd w:id="22"/>
    <w:bookmarkStart w:id="39" w:name="sec-data"/>
    <w:p>
      <w:pPr>
        <w:pStyle w:val="Heading2"/>
      </w:pPr>
      <w:r>
        <w:t xml:space="preserve">2 Data and descriptive analyses</w:t>
      </w:r>
    </w:p>
    <w:p>
      <w:pPr>
        <w:pStyle w:val="FirstParagraph"/>
      </w:pPr>
      <w:r>
        <w:t xml:space="preserve">We use data from the COVID Social Mobility &amp; Opportunities study (COSMO), a longitudinal cohort study following a representative sample of young people (and their parents) who were in Year 10 (i.e., aged 14-15) at pandemic onset (March 2020), who participated at both waves 1</w:t>
      </w:r>
      <w:r>
        <w:t xml:space="preserve"> </w:t>
      </w:r>
      <w:r>
        <w:t xml:space="preserve">(Anders et al., 2024a)</w:t>
      </w:r>
      <w:r>
        <w:t xml:space="preserve">, carried out October 2021–March 2022 (ages 16-17), and 2</w:t>
      </w:r>
      <w:r>
        <w:t xml:space="preserve"> </w:t>
      </w:r>
      <w:r>
        <w:t xml:space="preserve">(Anders, 2024)</w:t>
      </w:r>
      <w:r>
        <w:t xml:space="preserve">, carried out October 2022–March 2023 (ages 17-18). In both cases the majority of interviews were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to improve statistical power when exploring inequalities between such groups. Furthermore, there was initial non-response and attrition between the first two waves. As such, it is important to account for the deliberate and modelled sample disproportionalities, as well as implications of clustering and stratification for statistical inference. We take these features into account in analyses using study-provided clustering and stratification variables, and design and non-response weights</w:t>
      </w:r>
      <w:r>
        <w:t xml:space="preserve"> </w:t>
      </w:r>
      <w:r>
        <w:t xml:space="preserve">(Adali et al., 2022, 2023)</w:t>
      </w:r>
      <w:r>
        <w:t xml:space="preserve">.</w:t>
      </w:r>
    </w:p>
    <w:p>
      <w:pPr>
        <w:pStyle w:val="BodyText"/>
      </w:pPr>
      <w:r>
        <w:t xml:space="preserve">To ensure consistency across analyses, we restrict our sample to those with valid data on the key variables for our analyses. This includes the primary outcome of self-reported wellbeing score, along with key predictors and demographic variables. However, we are mindful of the potential implications of sample selection caused by complete case analysis. We robustness check our findings in</w:t>
      </w:r>
      <w:r>
        <w:t xml:space="preserve"> </w:t>
      </w:r>
      <w:hyperlink w:anchor="sec-appendix-mi">
        <w:r>
          <w:rPr>
            <w:rStyle w:val="Hyperlink"/>
          </w:rPr>
          <w:t xml:space="preserve">Section 9</w:t>
        </w:r>
      </w:hyperlink>
      <w:r>
        <w:t xml:space="preserve">, re-running our core analyses having only restricted the sample based on the primary outcome (wellbeing score) and the main predictors (impact of pandemic on mental health and adverse life events reporting) and multiply imputing across 10 datasets all other predictors using a highly flexible classification and regression tree approach</w:t>
      </w:r>
      <w:r>
        <w:t xml:space="preserve"> </w:t>
      </w:r>
      <w:r>
        <w:t xml:space="preserve">(Lumley, 2019; van Buuren &amp; Groothuis-Oudshoorn, 2025)</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UK-based surveys. This measure is found to be a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dimensions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pre-pandemic baseline measures. As such, we emphasise that our estimates of differences are between individuals all of whom have experienced the pandemic, but experienced it differently, rather than between their current situation and a counterfactual in which the pandemic did not happen. Others have used used survey experiment methods to attempt to get closer to such a counterfactual</w:t>
      </w:r>
      <w:r>
        <w:t xml:space="preserve"> </w:t>
      </w:r>
      <w:r>
        <w:t xml:space="preserve">(Andreoli et al., 2024)</w:t>
      </w:r>
      <w:r>
        <w:t xml:space="preserve">, or pre-existing longitudinal studies to explore change in mental health across the pandemic period</w:t>
      </w:r>
      <w:r>
        <w:t xml:space="preserve"> </w:t>
      </w:r>
      <w:r>
        <w:t xml:space="preserve">(Henseke &amp; Schoon, 2025)</w:t>
      </w:r>
      <w:r>
        <w:t xml:space="preserve">.</w:t>
      </w:r>
    </w:p>
    <w:p>
      <w:pPr>
        <w:pStyle w:val="BodyText"/>
      </w:pPr>
      <w:r>
        <w:t xml:space="preserve">We have measures of wellbeing from two post-pandemic waves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standard deviation declining slightly from 2.05 to 1.97. These are not particularly substantial changes, providing little evidence of change between these two post-pandemic time points. However, in interpreting this (lack of) aggregate change, we must be mindful of this cohort’s wider context.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these data alone we are unable to adjudicate between multiple potential plausible scenarios. Others, using a wider range of datasets are better placed to do so. For example,</w:t>
      </w:r>
      <w:r>
        <w:t xml:space="preserve"> </w:t>
      </w:r>
      <w:r>
        <w:t xml:space="preserve">Henseke &amp; Schoon (2025)</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implied by the wider literature on life course wellbeing</w:t>
      </w:r>
      <w:r>
        <w:t xml:space="preserve"> </w:t>
      </w:r>
      <w:r>
        <w:t xml:space="preserve">(Blanchflower, 2021)</w:t>
      </w:r>
      <w:r>
        <w:t xml:space="preserve">.</w:t>
      </w:r>
    </w:p>
    <w:p>
      <w:pPr>
        <w:pStyle w:val="BodyText"/>
      </w:pPr>
      <w:r>
        <w:t xml:space="preserve">However, this is not our paper’s focus. Aggregate stability does not mean that there are not individual-level differences or differential change in wellbeing. The correlation between the reported measures in Waves 1 and 2 is 0.54. While some of this likely reflects natural fluctuation in young people’s wellbeing due to daily idiosyncratic shocks, it provides a basis to explore evidence of systematic difference in change between the two waves, along with the differences in levels at each wave.</w:t>
      </w:r>
    </w:p>
    <w:bookmarkEnd w:id="27"/>
    <w:bookmarkStart w:id="32" w:name="social-support"/>
    <w:p>
      <w:pPr>
        <w:pStyle w:val="Heading3"/>
      </w:pPr>
      <w:r>
        <w:t xml:space="preserve">2.2 Social support</w:t>
      </w:r>
    </w:p>
    <w:p>
      <w:pPr>
        <w:pStyle w:val="FirstParagraph"/>
      </w:pPr>
      <w:r>
        <w:t xml:space="preserve">Social support is concerned with the extent to which an individual is, or perceives they are,</w:t>
      </w:r>
      <w:r>
        <w:t xml:space="preserve"> </w:t>
      </w:r>
      <w:r>
        <w:t xml:space="preserve">“cared for, esteemed, and valued by people in [their] social network”</w:t>
      </w:r>
      <w:r>
        <w:t xml:space="preserve"> </w:t>
      </w:r>
      <w:r>
        <w:t xml:space="preserve">(p. 691, Demaray et al., 2005)</w:t>
      </w:r>
      <w:r>
        <w:t xml:space="preserve">. As such, it directly relates to the SPF framework, specifically status and affection. As such, we anticipate that individuals with greater social support will have higher levels of wellbeing</w:t>
      </w:r>
      <w:r>
        <w:t xml:space="preserve"> </w:t>
      </w:r>
      <w:r>
        <w:t xml:space="preserve">(Li et al., 2021; Magson et al., 2021; Siedlecki et al., 2014)</w:t>
      </w:r>
      <w:r>
        <w:t xml:space="preserve">. Furthermore, because of the potential for substitution between components of the SPF in the production of wellbeing</w:t>
      </w:r>
      <w:r>
        <w:t xml:space="preserve"> </w:t>
      </w:r>
      <w:r>
        <w:t xml:space="preserve">(Ormel et al., 1999)</w:t>
      </w:r>
      <w:r>
        <w:t xml:space="preserve">, we also anticipate social support buffering shocks to other aspects; this has been observed empirically with social support buffering shocks to wellbeing in the face of adversity</w:t>
      </w:r>
      <w:r>
        <w:t xml:space="preserve"> </w:t>
      </w:r>
      <w:r>
        <w:t xml:space="preserve">(Aksoy et al., 2024; Kearns et al., 2015; McMahon et al., 2023)</w:t>
      </w:r>
      <w:r>
        <w:t xml:space="preserve">.</w:t>
      </w:r>
    </w:p>
    <w:p>
      <w:pPr>
        <w:pStyle w:val="BodyText"/>
      </w:pPr>
      <w:r>
        <w:t xml:space="preserve">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2"/>
        </w:numPr>
      </w:pPr>
      <w:r>
        <w:t xml:space="preserve">I have family and friends who help me feel safe, secure and happy</w:t>
      </w:r>
    </w:p>
    <w:p>
      <w:pPr>
        <w:pStyle w:val="Compact"/>
        <w:numPr>
          <w:ilvl w:val="0"/>
          <w:numId w:val="1002"/>
        </w:numPr>
      </w:pPr>
      <w:r>
        <w:t xml:space="preserve">There is someone I trust whom I would turn to for advice if I were having problems</w:t>
      </w:r>
    </w:p>
    <w:p>
      <w:pPr>
        <w:pStyle w:val="Compact"/>
        <w:numPr>
          <w:ilvl w:val="0"/>
          <w:numId w:val="1002"/>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1" w:name="fig-psych-dist"/>
          <w:p>
            <w:pPr>
              <w:jc w:val="center"/>
            </w:pPr>
            <w:pPr>
              <w:jc w:val="start"/>
              <w:spacing w:before="200"/>
              <w:pStyle w:val="ImageCaption"/>
            </w:pPr>
            <w:r>
              <w:t xml:space="preserve">Figure 2: Distribution of social provisions scale</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psych-dis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1"/>
        </w:tc>
      </w:tr>
    </w:tbl>
    <w:p>
      <w:pPr>
        <w:pStyle w:val="BodyText"/>
      </w:pPr>
      <w:r>
        <w:t xml:space="preserve">Following standard practice, we sum over the values of the three items and standardise the resulting variable (mean zero; standard deviation one) for the purposes of interpretation. We plot the distribution of the social provisions scale in</w:t>
      </w:r>
      <w:r>
        <w:t xml:space="preserve"> </w:t>
      </w:r>
      <w:hyperlink w:anchor="fig-psych-dist">
        <w:r>
          <w:rPr>
            <w:rStyle w:val="Hyperlink"/>
          </w:rPr>
          <w:t xml:space="preserve">Figure 2</w:t>
        </w:r>
      </w:hyperlink>
      <w:r>
        <w:t xml:space="preserve">. There is some evidence of a ceiling effect — most respondents score the maximum of 6 — but with a decent spread below this. We use this as a continuous measure in our analyses.</w:t>
      </w:r>
    </w:p>
    <w:bookmarkEnd w:id="32"/>
    <w:bookmarkStart w:id="34" w:name="demographic-characteristics"/>
    <w:p>
      <w:pPr>
        <w:pStyle w:val="Heading3"/>
      </w:pPr>
      <w:r>
        <w:t xml:space="preserve">2.3 Demographic characteristics</w:t>
      </w:r>
    </w:p>
    <w:p>
      <w:pPr>
        <w:pStyle w:val="FirstParagraph"/>
      </w:pPr>
      <w:r>
        <w:t xml:space="preserve">The impact of the pandemic on young people’s wellbeing differed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3"/>
        </w:numPr>
      </w:pPr>
      <w:r>
        <w:rPr>
          <w:i/>
          <w:iCs/>
        </w:rPr>
        <w:t xml:space="preserve">Gender</w:t>
      </w:r>
      <w:r>
        <w:t xml:space="preserve">: There are longstanding concerns about differences in wellbeing by gender</w:t>
      </w:r>
      <w:r>
        <w:t xml:space="preserve"> </w:t>
      </w:r>
      <w:r>
        <w:t xml:space="preserve">(Yoon et al., 2023)</w:t>
      </w:r>
      <w:r>
        <w:t xml:space="preserve">, which have only been exacerbated by the pandemic</w:t>
      </w:r>
      <w:r>
        <w:t xml:space="preserve"> </w:t>
      </w:r>
      <w:r>
        <w:t xml:space="preserve">(Davillas &amp; Jones, 2021)</w:t>
      </w:r>
      <w:r>
        <w:t xml:space="preserve">. We use young people’s reported gender at either wave (giving precedence to the subsequent reports if they differ) and group cohort members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3"/>
        </w:numPr>
      </w:pPr>
      <w:r>
        <w:rPr>
          <w:i/>
          <w:iCs/>
        </w:rPr>
        <w:t xml:space="preserve">Ethnicity</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3"/>
        </w:numPr>
      </w:pPr>
      <w:r>
        <w:rPr>
          <w:i/>
          <w:iCs/>
        </w:rPr>
        <w:t xml:space="preserve">Parental education</w:t>
      </w:r>
      <w:r>
        <w:t xml:space="preserve">: Generally viewed as a core component of socioeconomic status, which may affect wellbeing through the status component of the SPF</w:t>
      </w:r>
      <w:r>
        <w:t xml:space="preserve"> </w:t>
      </w:r>
      <w:r>
        <w:t xml:space="preserve">(Ormel et al., 1999)</w:t>
      </w:r>
      <w:r>
        <w:t xml:space="preserve">, we construct our measure using the highest level of education reported by either parent at either wave,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3"/>
        </w:numPr>
      </w:pPr>
      <w:r>
        <w:rPr>
          <w:i/>
          <w:iCs/>
        </w:rPr>
        <w:t xml:space="preserve">Housing tenure</w:t>
      </w:r>
      <w:r>
        <w:t xml:space="preserve">: Housing tenure is another component of socioeconomic status, hence with potential implications for young people’s wellbeing. Our measure is based on parental reports at either wave (giving precedence to the subsequent if they differ), grouping families into those who own their home (either with a mortgage or outright;</w:t>
      </w:r>
      <w:r>
        <w:t xml:space="preserve"> </w:t>
      </w:r>
      <w:r>
        <w:t xml:space="preserve">‘Own House’</w:t>
      </w:r>
      <w:r>
        <w:t xml:space="preserve">) and all others (predominantly social and private renting;</w:t>
      </w:r>
      <w:r>
        <w:t xml:space="preserve"> </w:t>
      </w:r>
      <w:r>
        <w:t xml:space="preserve">‘Other’</w:t>
      </w:r>
      <w:r>
        <w:t xml:space="preserve">).</w:t>
      </w:r>
    </w:p>
    <w:p>
      <w:pPr>
        <w:pStyle w:val="Compact"/>
        <w:numPr>
          <w:ilvl w:val="0"/>
          <w:numId w:val="1003"/>
        </w:numPr>
      </w:pPr>
      <w:r>
        <w:rPr>
          <w:i/>
          <w:iCs/>
        </w:rPr>
        <w:t xml:space="preserve">Area deprivation</w:t>
      </w:r>
      <w:r>
        <w:t xml:space="preserve">: We also include an area-based measure of deprivation of participants’ homes, both as a correlate of socioeconomic stats due to residential sorting and given more direct implications this can have for potentially wellbeing-enhancing amenities. COSMO provides decile groups of the UK’s Income Deprivation Affecting Children Index (IDACI),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(with mean 0 and standard deviation 0 in our analysis sample) across our measures of parental education, housing tenure and home neighbourhood deprivation. We describe how we do this and demonstrate that it captures the underlying SES measures on which it is based in</w:t>
      </w:r>
      <w:r>
        <w:t xml:space="preserve"> </w:t>
      </w:r>
      <w:hyperlink w:anchor="sec-appendix-measures-ses">
        <w:r>
          <w:rPr>
            <w:rStyle w:val="Hyperlink"/>
          </w:rPr>
          <w:t xml:space="preserve">Section 6.1</w:t>
        </w:r>
      </w:hyperlink>
      <w:r>
        <w:t xml:space="preserve">.</w:t>
      </w:r>
    </w:p>
    <w:p>
      <w:pPr>
        <w:pStyle w:val="BodyText"/>
      </w:pPr>
      <w:r>
        <w:t xml:space="preserve">Having constructed this set of measures,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tbl-demographics-lifesat"/>
          <w:p>
            <w:pPr>
              <w:jc w:val="center"/>
            </w:pPr>
            <w:pPr>
              <w:jc w:val="start"/>
              <w:spacing w:before="200"/>
              <w:pStyle w:val="ImageCaption"/>
            </w:pPr>
            <w:r>
              <w:t xml:space="preserve">Table 1: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p/>
          <w:bookmarkEnd w:id="33"/>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(e.g.</w:t>
      </w:r>
      <w:r>
        <w:t xml:space="preserve"> </w:t>
      </w:r>
      <w:r>
        <w:t xml:space="preserve">Anders et al. (2023)</w:t>
      </w:r>
      <w:r>
        <w:t xml:space="preserve">,</w:t>
      </w:r>
      <w:r>
        <w:t xml:space="preserve"> </w:t>
      </w:r>
      <w:r>
        <w:t xml:space="preserve">Davillas &amp; Jones (2021)</w:t>
      </w:r>
      <w:r>
        <w:t xml:space="preserve">),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By ethnicity, the highest levels of reported wellbeing are for Black young people (6.51 in Wave 1), followed by White young people (6.43), with the lowest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w:t>
      </w:r>
    </w:p>
    <w:bookmarkEnd w:id="34"/>
    <w:bookmarkStart w:id="36" w:name="perceived-ongoing-impact"/>
    <w:p>
      <w:pPr>
        <w:pStyle w:val="Heading3"/>
      </w:pPr>
      <w:r>
        <w:t xml:space="preserve">2.4 Perceived ongoing impact</w:t>
      </w:r>
    </w:p>
    <w:p>
      <w:pPr>
        <w:pStyle w:val="FirstParagraph"/>
      </w:pPr>
      <w:r>
        <w:t xml:space="preserve">Next, we seek to quantify differences in young people’s wellbeing by their own perceptions of the ongoing impact of the pandemic. This takes seriously young people’s own reports of the ongoing impact of the pandemic on their wellbeing. To capture these perceptions, we use a question asked to young people at the second wave of COSMO, asking</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5" w:name="tbl-covid-impact-life-sat"/>
          <w:p>
            <w:pPr>
              <w:jc w:val="center"/>
            </w:pPr>
            <w:pPr>
              <w:jc w:val="start"/>
              <w:spacing w:before="200"/>
              <w:pStyle w:val="ImageCaption"/>
            </w:pPr>
            <w:r>
              <w:t xml:space="preserve">Table 2: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p/>
          <w:bookmarkEnd w:id="35"/>
        </w:tc>
      </w:tr>
    </w:tbl>
    <w:p>
      <w:pPr>
        <w:pStyle w:val="BodyText"/>
      </w:pPr>
      <w:hyperlink w:anchor="tbl-covid-impact-life-sat">
        <w:r>
          <w:rPr>
            <w:rStyle w:val="Hyperlink"/>
          </w:rPr>
          <w:t xml:space="preserve">Table 2</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(6.81 in Wave 1; 6.91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these are a very small proportion of the sample.</w:t>
      </w:r>
    </w:p>
    <w:p>
      <w:pPr>
        <w:pStyle w:val="BodyText"/>
      </w:pPr>
      <w:r>
        <w:t xml:space="preserve">These groups are also distinguished by changes in reported wellbeing between Waves 1 and 2. Those who report that the pandemic is continuing to have a negative impact on their mental wellbeing do, indeed, report a decline in wellbeing (-0.16) between the two waves, while those who report that it has had no impact (0.11) or that it is having a positive impact report an increase (0.08). Those who report that it is still having an impact but that they don’t know if it is positive or negative report a slight decline (-0.08). These last two groups are small, so these estimates should be treated with caution. In subsequent analyses we combine these two groups with the group who report no impact, for an overall comparison of those who report an ongoing negative impact with the rest of the sample.</w:t>
      </w:r>
    </w:p>
    <w:bookmarkEnd w:id="36"/>
    <w:bookmarkStart w:id="38" w:name="adverse-life-events"/>
    <w:p>
      <w:pPr>
        <w:pStyle w:val="Heading3"/>
      </w:pPr>
      <w:r>
        <w:t xml:space="preserve">2.5 Adverse life events</w:t>
      </w:r>
    </w:p>
    <w:p>
      <w:pPr>
        <w:pStyle w:val="FirstParagraph"/>
      </w:pPr>
      <w:r>
        <w:t xml:space="preserve">Finally, we explore whether subjective wellbeing is associated with experiencing adverse life events during the COVID-19 pandemic. We report details of the construction of this measure in</w:t>
      </w:r>
      <w:r>
        <w:t xml:space="preserve"> </w:t>
      </w:r>
      <w:hyperlink w:anchor="sec-appendix-measures-adverse-events">
        <w:r>
          <w:rPr>
            <w:rStyle w:val="Hyperlink"/>
          </w:rPr>
          <w:t xml:space="preserve">Section 6.2</w:t>
        </w:r>
      </w:hyperlink>
      <w:r>
        <w:t xml:space="preserve">, creating a composite index of adverse life events using polychoric principal component analysis (PCA) of the ten adverse life events available in the data and dividing the sample into tertile groups based on the resulting index.</w:t>
      </w:r>
    </w:p>
    <w:tbl>
      <w:tblPr>
        <w:tblStyle w:val="Table"/>
        <w:tblW w:type="pct" w:w="5000"/>
        <w:tblLayout w:type="fixed"/>
        <w:tblLook w:firstRow="0" w:lastRow="0" w:firstColumn="0" w:lastColumn="0" w:noHBand="0" w:noVBand="0" w:val="0000"/>
      </w:tblPr>
      <w:tblGrid>
        <w:gridCol w:w="7920"/>
      </w:tblGrid>
      <w:tr>
        <w:tc>
          <w:tcPr/>
          <w:bookmarkStart w:id="37" w:name="tbl-events-lifesat"/>
          <w:p>
            <w:pPr>
              <w:jc w:val="center"/>
            </w:pPr>
            <w:pPr>
              <w:jc w:val="start"/>
              <w:spacing w:before="200"/>
              <w:pStyle w:val="ImageCaption"/>
            </w:pPr>
            <w:r>
              <w:t xml:space="preserve">Table 3: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Fewer</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Average</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More</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37"/>
        </w:tc>
      </w:tr>
    </w:tbl>
    <w:p>
      <w:pPr>
        <w:pStyle w:val="BodyText"/>
      </w:pPr>
      <w:r>
        <w:t xml:space="preserve">We find that mean wellbeing score differs by experience of such events (</w:t>
      </w:r>
      <w:hyperlink w:anchor="tbl-events-lifesat">
        <w:r>
          <w:rPr>
            <w:rStyle w:val="Hyperlink"/>
          </w:rPr>
          <w:t xml:space="preserve">Table 3</w:t>
        </w:r>
      </w:hyperlink>
      <w:r>
        <w:t xml:space="preserve">). Wellbeing is lower for those who experience a higher prevalence of adverse life events, ranging from 7.04 for those in the fewer adverse life events tertile group to 5.67 for those in the more adverse life events tertile group.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differences in socioeconomic and demographic characteristics between by experience of adverse life events. For this reason, as well as for our other analyses, we use regression modelling to unpack these findings further.</w:t>
      </w:r>
    </w:p>
    <w:bookmarkEnd w:id="38"/>
    <w:bookmarkEnd w:id="39"/>
    <w:bookmarkStart w:id="49" w:name="sec-regression"/>
    <w:p>
      <w:pPr>
        <w:pStyle w:val="Heading2"/>
      </w:pPr>
      <w:r>
        <w:t xml:space="preserve">3 Analytical approach</w:t>
      </w:r>
    </w:p>
    <w:p>
      <w:pPr>
        <w:pStyle w:val="FirstParagraph"/>
      </w:pPr>
      <w:r>
        <w:t xml:space="preserve">To extend our descriptive analyses and, hence, provide a more nuanced understanding of the factors associated with young people’s wellbeing since the pandemic, we use regression modelling. All analyses are carried out using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and adjustments to statistical inference due to stratification and clustering of the sample.</w:t>
      </w:r>
    </w:p>
    <w:p>
      <w:pPr>
        <w:pStyle w:val="BodyText"/>
      </w:pPr>
      <w:r>
        <w:t xml:space="preserve">We break this section into three sub-sections, aligned with the research aims in this paper: demographic differences in subjective wellbeing; the importance of perceived ongoing impact of the pandemic; and the importance of adverse life events during the pandemic.</w:t>
      </w:r>
    </w:p>
    <w:bookmarkStart w:id="42"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w:bookmarkStart w:id="40" w:name="eq-regression-lifesa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1</m:t>
              </m:r>
            </m:e>
          </m:d>
        </m:oMath>
      </m:oMathPara>
      <w:bookmarkEnd w:id="40"/>
    </w:p>
    <w:p>
      <w:pPr>
        <w:pStyle w:val="FirstParagraph"/>
      </w:pPr>
      <w:r>
        <w:t xml:space="preserve">where</w:t>
      </w:r>
      <w:r>
        <w:t xml:space="preserve"> </w:t>
      </w:r>
      <m:oMath>
        <m:r>
          <m:t>L</m:t>
        </m:r>
        <m:r>
          <m:t>i</m:t>
        </m:r>
        <m:r>
          <m:t>f</m:t>
        </m:r>
        <m:r>
          <m:t>e</m:t>
        </m:r>
        <m:r>
          <m:t>S</m:t>
        </m:r>
        <m:r>
          <m:t>a</m:t>
        </m:r>
        <m:r>
          <m:t>t</m:t>
        </m:r>
      </m:oMath>
      <w:r>
        <w:t xml:space="preserve"> </w:t>
      </w:r>
      <w:r>
        <w:t xml:space="preserve">is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(Asian, Black, Mixed, Other, leaving the largest category, White, omitted as the baseline),</w:t>
      </w:r>
      <w:r>
        <w:t xml:space="preserve"> </w:t>
      </w:r>
      <m:oMath>
        <m:r>
          <m:t>X</m:t>
        </m:r>
      </m:oMath>
      <w:r>
        <w:t xml:space="preserve"> </w:t>
      </w:r>
      <w:r>
        <w:t xml:space="preserve">is a vector of covariates varying between model specifications discussed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tbl>
      <w:tblPr>
        <w:tblStyle w:val="Table"/>
        <w:tblW w:type="pct" w:w="5000"/>
        <w:tblLayout w:type="fixed"/>
        <w:tblLook w:firstRow="0" w:lastRow="0" w:firstColumn="0" w:lastColumn="0" w:noHBand="0" w:noVBand="0" w:val="0000"/>
      </w:tblPr>
      <w:tblGrid>
        <w:gridCol w:w="7920"/>
      </w:tblGrid>
      <w:tr>
        <w:tc>
          <w:tcPr/>
          <w:bookmarkStart w:id="41" w:name="tbl-regression-lifesat-lookup"/>
          <w:p>
            <w:pPr>
              <w:jc w:val="center"/>
            </w:pPr>
            <w:pPr>
              <w:jc w:val="start"/>
              <w:spacing w:before="200"/>
              <w:pStyle w:val="ImageCaption"/>
            </w:pPr>
            <w:r>
              <w:t xml:space="preserve">Table 4: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41"/>
        </w:tc>
      </w:tr>
    </w:tbl>
    <w:p>
      <w:pPr>
        <w:pStyle w:val="BodyText"/>
      </w:pPr>
      <w:r>
        <w:t xml:space="preserve">We estimate a series of models summarised in</w:t>
      </w:r>
      <w:r>
        <w:t xml:space="preserve"> </w:t>
      </w:r>
      <w:hyperlink w:anchor="tbl-regression-lifesat-lookup">
        <w:r>
          <w:rPr>
            <w:rStyle w:val="Hyperlink"/>
          </w:rPr>
          <w:t xml:space="preserve">Table 4</w:t>
        </w:r>
      </w:hyperlink>
      <w:r>
        <w:t xml:space="preserve">, beginning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1</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 We then explore potential intersectional differences in wellbeing between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support in explaining these differences, we add social provisions score in L6. Differences between the coefficients on our demographic characteristics between L4 and L6 will, hence, provide information on the extent to which differences in social support explain the unadjusted differences.</w:t>
      </w:r>
    </w:p>
    <w:p>
      <w:pPr>
        <w:pStyle w:val="BodyText"/>
      </w:pPr>
      <w:r>
        <w:t xml:space="preserve">L7 explores whether the importance of social support varies by demographic characteristics. As with L5, we include interaction terms, this time between our demographic characteristics and the two social support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support measures. Comparing coefficients on the demographic characteristics in L6 and L8 hence provides information on the extent to which differences in adverse life events may explain demographic differences in wellbeing. We do not model the interaction between adverse life events and demographic characteristics at this point as we explore this in a subsequent section.</w:t>
      </w:r>
    </w:p>
    <w:bookmarkEnd w:id="42"/>
    <w:bookmarkStart w:id="45"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The models take the form:</w:t>
      </w:r>
    </w:p>
    <w:p>
      <w:pPr>
        <w:pStyle w:val="BodyText"/>
      </w:pPr>
      <w:bookmarkStart w:id="43" w:name="eq-regression-percep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2</m:t>
              </m:r>
            </m:e>
          </m:d>
        </m:oMath>
      </m:oMathPara>
      <w:bookmarkEnd w:id="43"/>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 We, again, estimate separate models for each time point, as well as for Wave 2 adjusting for Wave 1.</w:t>
      </w:r>
    </w:p>
    <w:tbl>
      <w:tblPr>
        <w:tblStyle w:val="Table"/>
        <w:tblW w:type="pct" w:w="5000"/>
        <w:tblLayout w:type="fixed"/>
        <w:tblLook w:firstRow="0" w:lastRow="0" w:firstColumn="0" w:lastColumn="0" w:noHBand="0" w:noVBand="0" w:val="0000"/>
      </w:tblPr>
      <w:tblGrid>
        <w:gridCol w:w="7920"/>
      </w:tblGrid>
      <w:tr>
        <w:tc>
          <w:tcPr/>
          <w:bookmarkStart w:id="44" w:name="tbl-regression-percept-lookup"/>
          <w:p>
            <w:pPr>
              <w:jc w:val="center"/>
            </w:pPr>
            <w:pPr>
              <w:jc w:val="start"/>
              <w:spacing w:before="200"/>
              <w:pStyle w:val="ImageCaption"/>
            </w:pPr>
            <w:r>
              <w:t xml:space="preserve">Table 5: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44"/>
        </w:tc>
      </w:tr>
    </w:tbl>
    <w:p>
      <w:pPr>
        <w:pStyle w:val="BodyText"/>
      </w:pPr>
      <w:r>
        <w:t xml:space="preserve">The series of models is summarised in</w:t>
      </w:r>
      <w:r>
        <w:t xml:space="preserve"> </w:t>
      </w:r>
      <w:hyperlink w:anchor="tbl-regression-percept-lookup">
        <w:r>
          <w:rPr>
            <w:rStyle w:val="Hyperlink"/>
          </w:rPr>
          <w:t xml:space="preserve">Table 5</w:t>
        </w:r>
      </w:hyperlink>
      <w:r>
        <w:t xml:space="preserve">, with the first model (P1) replicating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w:t>
      </w:r>
    </w:p>
    <w:p>
      <w:pPr>
        <w:pStyle w:val="BodyText"/>
      </w:pPr>
      <w:r>
        <w:t xml:space="preserve">Next, in P2, we include demographic (gender, ethnicity), methodological (month of survey) and socioeconomic status (parental education, housing tenure, and area-level deprivation) covariates. We do this, rather than including combined SES quintile groups, now that we are not trying to interpret an overall SES association but rather adjust for these as flexibly as possible.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social support.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w:t>
      </w:r>
    </w:p>
    <w:bookmarkEnd w:id="45"/>
    <w:bookmarkStart w:id="48" w:name="sec-regression-lifeevents"/>
    <w:p>
      <w:pPr>
        <w:pStyle w:val="Heading3"/>
      </w:pPr>
      <w:r>
        <w:t xml:space="preserve">3.3 Importance of adverse life events during the pandemic</w:t>
      </w:r>
    </w:p>
    <w:p>
      <w:pPr>
        <w:pStyle w:val="FirstParagraph"/>
      </w:pPr>
      <w:r>
        <w:t xml:space="preserve">For our final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 on the adverse life experiences they faced, including conditional on their perception of the impact of the pandemic on their wellbeing. The models used for this purpose take the form:</w:t>
      </w:r>
    </w:p>
    <w:p>
      <w:pPr>
        <w:pStyle w:val="BodyText"/>
      </w:pPr>
      <w:bookmarkStart w:id="46" w:name="eq-regression-lifeevents"/>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3</m:t>
              </m:r>
            </m:e>
          </m:d>
        </m:oMath>
      </m:oMathPara>
      <w:bookmarkEnd w:id="46"/>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(more and average, leaving fewer as a baseline). We, again, estimate separate models for each time point, as well as for Wave 2 adjusting for Wave 1. When modelling Wave 1 wellbeing, a variant of our events index is used based on Wave 1 event reports only.</w:t>
      </w:r>
    </w:p>
    <w:tbl>
      <w:tblPr>
        <w:tblStyle w:val="Table"/>
        <w:tblW w:type="pct" w:w="5000"/>
        <w:tblLayout w:type="fixed"/>
        <w:tblLook w:firstRow="0" w:lastRow="0" w:firstColumn="0" w:lastColumn="0" w:noHBand="0" w:noVBand="0" w:val="0000"/>
      </w:tblPr>
      <w:tblGrid>
        <w:gridCol w:w="7920"/>
      </w:tblGrid>
      <w:tr>
        <w:tc>
          <w:tcPr/>
          <w:bookmarkStart w:id="47" w:name="tbl-regression-lifeevents-lookup"/>
          <w:p>
            <w:pPr>
              <w:jc w:val="center"/>
            </w:pPr>
            <w:pPr>
              <w:jc w:val="start"/>
              <w:spacing w:before="200"/>
              <w:pStyle w:val="ImageCaption"/>
            </w:pPr>
            <w:r>
              <w:t xml:space="preserve">Table 6: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47"/>
        </w:tc>
      </w:tr>
    </w:tbl>
    <w:p>
      <w:pPr>
        <w:pStyle w:val="BodyText"/>
      </w:pPr>
      <w:r>
        <w:t xml:space="preserve">Our models are summarised in</w:t>
      </w:r>
      <w:r>
        <w:t xml:space="preserve"> </w:t>
      </w:r>
      <w:hyperlink w:anchor="tbl-regression-lifeevents-lookup">
        <w:r>
          <w:rPr>
            <w:rStyle w:val="Hyperlink"/>
          </w:rPr>
          <w:t xml:space="preserve">Table 6</w:t>
        </w:r>
      </w:hyperlink>
      <w:r>
        <w:t xml:space="preserve">, with the first model (E1) again replicating our descriptive findings by including only the tertile groups of the adverse life events index. In preliminary work, we explored alternative modelling approaches including using the index as a continuous variable or including the individual adverse life events, as listed in</w:t>
      </w:r>
      <w:r>
        <w:t xml:space="preserve"> </w:t>
      </w:r>
      <w:hyperlink w:anchor="sec-appendix-measures-adverse-events">
        <w:r>
          <w:rPr>
            <w:rStyle w:val="Hyperlink"/>
          </w:rPr>
          <w:t xml:space="preserve">Section 6.2</w:t>
        </w:r>
      </w:hyperlink>
      <w:r>
        <w:t xml:space="preserve">. Including tertile groups provided the most interpretable results without substantively affecting model fit.</w:t>
      </w:r>
    </w:p>
    <w:p>
      <w:pPr>
        <w:pStyle w:val="BodyText"/>
      </w:pPr>
      <w:r>
        <w:t xml:space="preserve">Next, in E2, we add demographic characteristics (gender, ethnicity), socioeconomic status (parental education, housing tenure, and area-level deprivation), and month of survey. This model thus estimates the difference in wellbeing associated with greater experiences of adverse life events during the pandemic among those with similar socio-demographic characteristics, as well how much distribution of events across socio-demographic groups explains wellbeing differences.</w:t>
      </w:r>
    </w:p>
    <w:p>
      <w:pPr>
        <w:pStyle w:val="BodyText"/>
      </w:pPr>
      <w:r>
        <w:t xml:space="preserve">We then explore how much differences in wellbeing associated with adverse life events are explained by social support. In E3, we add social provisions score and compare the estimate on our focal variable between models E2 and E3. This is very similar to model L6, but with adverse life events as our focus so these are entered using the tertile groups to aid interpretation.</w:t>
      </w:r>
    </w:p>
    <w:p>
      <w:pPr>
        <w:pStyle w:val="BodyText"/>
      </w:pPr>
      <w:r>
        <w:t xml:space="preserve">Next, we include perceived ongoing impact of the pandemic (focal variable in the previous section). As we hypothesise that at least some of the formation of ongoing perceptions of negative impact from the pandemic is due to experience of adverse events, this model (E4) is not a reliable guide to the association between adverse events and wellbeing: including the perception variable is over-controlling. However, the model is useful in comparison with P3 in demonstrating how much of the difference in wellbeing associated with a negative perception of the ongoing impact of the pandemic on wellbeing is explained by experience of adverse life events.</w:t>
      </w:r>
    </w:p>
    <w:p>
      <w:pPr>
        <w:pStyle w:val="BodyText"/>
      </w:pPr>
      <w:r>
        <w:t xml:space="preserve">Finally, analogously to previous sections, we include interactions of our focal variables (experience of adverse life events) with our socio-demographic and social support measures in model E5.</w:t>
      </w:r>
    </w:p>
    <w:bookmarkEnd w:id="48"/>
    <w:bookmarkEnd w:id="49"/>
    <w:bookmarkStart w:id="81" w:name="sec-results"/>
    <w:p>
      <w:pPr>
        <w:pStyle w:val="Heading2"/>
      </w:pPr>
      <w:r>
        <w:t xml:space="preserve">4 Results</w:t>
      </w:r>
    </w:p>
    <w:p>
      <w:pPr>
        <w:pStyle w:val="FirstParagraph"/>
      </w:pPr>
      <w:r>
        <w:t xml:space="preserve">In this section, we report results from the regression models outlined in the previous section, beginning with demographic differences in wellbeing</w:t>
      </w:r>
      <w:r>
        <w:t xml:space="preserve"> </w:t>
      </w:r>
      <w:hyperlink w:anchor="sec-results-lifesat">
        <w:r>
          <w:rPr>
            <w:rStyle w:val="Hyperlink"/>
          </w:rPr>
          <w:t xml:space="preserve">Section 4.1</w:t>
        </w:r>
      </w:hyperlink>
      <w:r>
        <w:t xml:space="preserve">, then the importance of perceived ongoing impact of the pandemic</w:t>
      </w:r>
      <w:r>
        <w:t xml:space="preserve"> </w:t>
      </w:r>
      <w:hyperlink w:anchor="sec-results-percep">
        <w:r>
          <w:rPr>
            <w:rStyle w:val="Hyperlink"/>
          </w:rPr>
          <w:t xml:space="preserve">Section 4.2</w:t>
        </w:r>
      </w:hyperlink>
      <w:r>
        <w:t xml:space="preserve"> </w:t>
      </w:r>
      <w:r>
        <w:t xml:space="preserve">and, finally, the importance of adverse life events during the pandemic</w:t>
      </w:r>
      <w:r>
        <w:t xml:space="preserve"> </w:t>
      </w:r>
      <w:hyperlink w:anchor="sec-results-events">
        <w:r>
          <w:rPr>
            <w:rStyle w:val="Hyperlink"/>
          </w:rPr>
          <w:t xml:space="preserve">Section 4.3</w:t>
        </w:r>
      </w:hyperlink>
      <w:r>
        <w:t xml:space="preserve">. We report our results graphically, focussing attention on the estimates pertinent to addressing our research aims and allowing for easy comparison across models. We provide full regression tables of the results for each model, which are included in</w:t>
      </w:r>
      <w:r>
        <w:t xml:space="preserve"> </w:t>
      </w:r>
      <w:hyperlink w:anchor="sec-appendix-regression">
        <w:r>
          <w:rPr>
            <w:rStyle w:val="Hyperlink"/>
          </w:rPr>
          <w:t xml:space="preserve">Section 7</w:t>
        </w:r>
      </w:hyperlink>
      <w:r>
        <w:t xml:space="preserve"> </w:t>
      </w:r>
      <w:r>
        <w:t xml:space="preserve">for reference.</w:t>
      </w:r>
    </w:p>
    <w:bookmarkStart w:id="60" w:name="sec-results-lifesat"/>
    <w:p>
      <w:pPr>
        <w:pStyle w:val="Heading3"/>
      </w:pPr>
      <w:r>
        <w:t xml:space="preserve">4.1 Demographic differences in subjective wellbeing</w:t>
      </w:r>
    </w:p>
    <w:p>
      <w:pPr>
        <w:pStyle w:val="FirstParagraph"/>
      </w:pPr>
      <w:r>
        <w:t xml:space="preserve">First, we explore overall differences in wellbeing, through the series of models summarised in</w:t>
      </w:r>
      <w:r>
        <w:t xml:space="preserve"> </w:t>
      </w:r>
      <w:hyperlink w:anchor="tbl-regression-lifesat-lookup">
        <w:r>
          <w:rPr>
            <w:rStyle w:val="Hyperlink"/>
          </w:rPr>
          <w:t xml:space="preserve">Table 4</w:t>
        </w:r>
      </w:hyperlink>
      <w:r>
        <w:t xml:space="preserve">. The core results are plotted in</w:t>
      </w:r>
      <w:r>
        <w:t xml:space="preserve"> </w:t>
      </w:r>
      <w:hyperlink w:anchor="fig-results-lifesat-gender">
        <w:r>
          <w:rPr>
            <w:rStyle w:val="Hyperlink"/>
          </w:rPr>
          <w:t xml:space="preserve">Figure 3</w:t>
        </w:r>
      </w:hyperlink>
      <w:r>
        <w:t xml:space="preserve"> </w:t>
      </w:r>
      <w:r>
        <w:t xml:space="preserve">for gender,</w:t>
      </w:r>
      <w:r>
        <w:t xml:space="preserve"> </w:t>
      </w:r>
      <w:hyperlink w:anchor="fig-results-lifesat-ethnic">
        <w:r>
          <w:rPr>
            <w:rStyle w:val="Hyperlink"/>
          </w:rPr>
          <w:t xml:space="preserve">Figure 9</w:t>
        </w:r>
      </w:hyperlink>
      <w:r>
        <w:t xml:space="preserve"> </w:t>
      </w:r>
      <w:r>
        <w:t xml:space="preserve">for ethnicity, and</w:t>
      </w:r>
      <w:r>
        <w:t xml:space="preserve"> </w:t>
      </w:r>
      <w:hyperlink w:anchor="fig-results-lifesat-ses">
        <w:r>
          <w:rPr>
            <w:rStyle w:val="Hyperlink"/>
          </w:rPr>
          <w:t xml:space="preserve">Figure 10</w:t>
        </w:r>
      </w:hyperlink>
      <w:r>
        <w:t xml:space="preserve"> </w:t>
      </w:r>
      <w:r>
        <w:t xml:space="preserve">for SES. In each case, results are presented for Wave 1, Wave 2, and Wave 2 adjusted for Wave 1, with the discussion starting out with Wave 1 in each case, before discussing notable differences in Wave 2, or Wave 2 adjusted for Wave 1. Full results tables for these models are reported in</w:t>
      </w:r>
      <w:r>
        <w:t xml:space="preserve"> </w:t>
      </w:r>
      <w:hyperlink w:anchor="sec-appendix-regression">
        <w:r>
          <w:rPr>
            <w:rStyle w:val="Hyperlink"/>
          </w:rPr>
          <w:t xml:space="preserve">Section 7</w:t>
        </w:r>
      </w:hyperlink>
      <w:r>
        <w:t xml:space="preserve">:</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59" w:name="fig-results-lifesat-gender"/>
          <w:p>
            <w:pPr>
              <w:jc w:val="center"/>
            </w:pPr>
            <w:pPr>
              <w:jc w:val="start"/>
              <w:spacing w:before="200"/>
              <w:pStyle w:val="ImageCaption"/>
            </w:pPr>
            <w:r>
              <w:t xml:space="preserve">Figure 3: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1" name="Picture"/>
                        <a:graphic>
                          <a:graphicData uri="http://schemas.openxmlformats.org/drawingml/2006/picture">
                            <pic:pic>
                              <pic:nvPicPr>
                                <pic:cNvPr descr="index_files/figure-docx/results-lifesat-gender-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4" name="Picture"/>
                        <a:graphic>
                          <a:graphicData uri="http://schemas.openxmlformats.org/drawingml/2006/picture">
                            <pic:pic>
                              <pic:nvPicPr>
                                <pic:cNvPr descr="index_files/figure-docx/results-lifesat-gender-2.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57" name="Picture"/>
                        <a:graphic>
                          <a:graphicData uri="http://schemas.openxmlformats.org/drawingml/2006/picture">
                            <pic:pic>
                              <pic:nvPicPr>
                                <pic:cNvPr descr="index_files/figure-docx/results-lifesat-gender-3.png" id="58" name="Picture"/>
                                <pic:cNvPicPr>
                                  <a:picLocks noChangeArrowheads="1" noChangeAspect="1"/>
                                </pic:cNvPicPr>
                              </pic:nvPicPr>
                              <pic:blipFill>
                                <a:blip r:embed="rId5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59"/>
        </w:tc>
      </w:tr>
    </w:tbl>
    <w:p>
      <w:pPr>
        <w:pStyle w:val="BodyText"/>
      </w:pPr>
      <w:r>
        <w:t xml:space="preserve">In the case of gender (</w:t>
      </w:r>
      <w:hyperlink w:anchor="fig-results-lifesat-gender">
        <w:r>
          <w:rPr>
            <w:rStyle w:val="Hyperlink"/>
          </w:rPr>
          <w:t xml:space="preserve">Figure 3</w:t>
        </w:r>
      </w:hyperlink>
      <w:r>
        <w:t xml:space="preserve">), we essentially replicate the descriptive findings (</w:t>
      </w:r>
      <w:hyperlink w:anchor="tbl-demographics-lifesat">
        <w:r>
          <w:rPr>
            <w:rStyle w:val="Hyperlink"/>
          </w:rPr>
          <w:t xml:space="preserve">Table 1</w:t>
        </w:r>
      </w:hyperlink>
      <w:r>
        <w:t xml:space="preserve">) in L1, finding that girls’ wellbeing is 0.63 points lower than for boys, and a larger reduction for those grouped as non-binary+ where the reduction is 1.9 points compared to boys. There is essentially no change when we adjust for ethnicity and SES in L4, with the differences remaining 0.63 points for girls and 1.9 points for non-binary+ young people.</w:t>
      </w:r>
    </w:p>
    <w:p>
      <w:pPr>
        <w:pStyle w:val="BodyText"/>
      </w:pPr>
      <w:r>
        <w:t xml:space="preserve">Part of the difference in wellbeing among non-binary+ young people is explained by variation in social support: when including social provisions in L6 the difference reduces to 1.4 points compared to boys. This makes a similar difference at Wave 2, but no difference for girls at any wave, nor for non-binary+ youth when considering Wave 2 wellbeing adjusted for Wave 1 wellbeing.</w:t>
      </w:r>
    </w:p>
    <w:p>
      <w:pPr>
        <w:pStyle w:val="BodyText"/>
      </w:pPr>
      <w:r>
        <w:t xml:space="preserve">A small part of the remaining difference is explained by experiences of adverse life events, reducing to 1.2 for non-binary+ young people and to 0.5 for girls, although the difference between L6 and L8 is not statistically significant for the non-binary+ group, nor quite statistically significant at the 5% level for girls.</w:t>
      </w:r>
    </w:p>
    <w:p>
      <w:pPr>
        <w:pStyle w:val="BodyText"/>
      </w:pPr>
      <w:r>
        <w:t xml:space="preserve">We do not find consistent differences in wellbeing by ethnicity or gender after adjusting for covariates; reporting of these results may be found in</w:t>
      </w:r>
      <w:r>
        <w:t xml:space="preserve"> </w:t>
      </w:r>
      <w:hyperlink w:anchor="sec-appendix-supplementary-results">
        <w:r>
          <w:rPr>
            <w:rStyle w:val="Hyperlink"/>
          </w:rPr>
          <w:t xml:space="preserve">Section 8</w:t>
        </w:r>
      </w:hyperlink>
      <w:r>
        <w:t xml:space="preserve">.</w:t>
      </w:r>
    </w:p>
    <w:bookmarkEnd w:id="60"/>
    <w:bookmarkStart w:id="65"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using the models summarised in</w:t>
      </w:r>
      <w:r>
        <w:t xml:space="preserve"> </w:t>
      </w:r>
      <w:hyperlink w:anchor="tbl-regression-percept-lookup">
        <w:r>
          <w:rPr>
            <w:rStyle w:val="Hyperlink"/>
          </w:rPr>
          <w:t xml:space="preserve">Table 5</w:t>
        </w:r>
      </w:hyperlink>
      <w:r>
        <w:t xml:space="preserve">. Core results are plotted in</w:t>
      </w:r>
      <w:r>
        <w:t xml:space="preserve"> </w:t>
      </w:r>
      <w:hyperlink w:anchor="fig-results-percep">
        <w:r>
          <w:rPr>
            <w:rStyle w:val="Hyperlink"/>
          </w:rPr>
          <w:t xml:space="preserve">Figure 4</w:t>
        </w:r>
      </w:hyperlink>
      <w:r>
        <w:t xml:space="preserve">. Full tables of results for these models are reported in</w:t>
      </w:r>
      <w:r>
        <w:t xml:space="preserve"> </w:t>
      </w:r>
      <w:hyperlink w:anchor="sec-appendix-regression">
        <w:r>
          <w:rPr>
            <w:rStyle w:val="Hyperlink"/>
          </w:rPr>
          <w:t xml:space="preserve">Section 7</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64" w:name="fig-results-percep"/>
          <w:p>
            <w:pPr>
              <w:jc w:val="center"/>
            </w:pPr>
            <w:pPr>
              <w:jc w:val="start"/>
              <w:spacing w:before="200"/>
              <w:pStyle w:val="ImageCaption"/>
            </w:pPr>
            <w:r>
              <w:t xml:space="preserve">Figure 4: Differences in wellbeing by perceived continuing impact of pandemic on wellbeing</w:t>
            </w:r>
          </w:p>
          <w:p>
            <w:pPr>
              <w:jc w:val="center"/>
            </w:pPr>
            <w:r>
              <w:drawing>
                <wp:inline>
                  <wp:extent cx="5334000" cy="3810000"/>
                  <wp:effectExtent b="0" l="0" r="0" t="0"/>
                  <wp:docPr descr="" title="" id="62" name="Picture"/>
                  <a:graphic>
                    <a:graphicData uri="http://schemas.openxmlformats.org/drawingml/2006/picture">
                      <pic:pic>
                        <pic:nvPicPr>
                          <pic:cNvPr descr="index_files/figure-docx/results-percep-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64"/>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p>
      <w:pPr>
        <w:pStyle w:val="BodyText"/>
      </w:pPr>
      <w:r>
        <w:t xml:space="preserve">We do not find evidence that social support mediates differences in wellbeing by perceived impact of the pandemic (see</w:t>
      </w:r>
      <w:r>
        <w:t xml:space="preserve"> </w:t>
      </w:r>
      <w:hyperlink w:anchor="fig-pred-diff-sps">
        <w:r>
          <w:rPr>
            <w:rStyle w:val="Hyperlink"/>
          </w:rPr>
          <w:t xml:space="preserve">Figure 12</w:t>
        </w:r>
      </w:hyperlink>
      <w:r>
        <w:t xml:space="preserve"> </w:t>
      </w:r>
      <w:r>
        <w:t xml:space="preserve">in</w:t>
      </w:r>
      <w:r>
        <w:t xml:space="preserve"> </w:t>
      </w:r>
      <w:hyperlink w:anchor="sec-appendix-supplementary-results">
        <w:r>
          <w:rPr>
            <w:rStyle w:val="Hyperlink"/>
          </w:rPr>
          <w:t xml:space="preserve">Section 8</w:t>
        </w:r>
      </w:hyperlink>
      <w:r>
        <w:t xml:space="preserve">), nor that the differences in wellbeing associated with perceived impact of the pandemic are moderated by young people’s demographic characteristics of socioeconomic background (see</w:t>
      </w:r>
      <w:r>
        <w:t xml:space="preserve"> </w:t>
      </w:r>
      <w:hyperlink w:anchor="sec-appendix-regression">
        <w:r>
          <w:rPr>
            <w:rStyle w:val="Hyperlink"/>
          </w:rPr>
          <w:t xml:space="preserve">Section 7</w:t>
        </w:r>
      </w:hyperlink>
      <w:r>
        <w:t xml:space="preserve">).</w:t>
      </w:r>
    </w:p>
    <w:bookmarkEnd w:id="65"/>
    <w:bookmarkStart w:id="80" w:name="sec-results-events"/>
    <w:p>
      <w:pPr>
        <w:pStyle w:val="Heading3"/>
      </w:pPr>
      <w:r>
        <w:t xml:space="preserve">4.3 Adverse life events</w:t>
      </w:r>
    </w:p>
    <w:p>
      <w:pPr>
        <w:pStyle w:val="FirstParagraph"/>
      </w:pPr>
      <w:r>
        <w:t xml:space="preserve">Next, we turn to the importance of adverse life events for young people’s wellbeing. This is explored through the series of models summarised in</w:t>
      </w:r>
      <w:r>
        <w:t xml:space="preserve"> </w:t>
      </w:r>
      <w:hyperlink w:anchor="tbl-regression-lifeevents-lookup">
        <w:r>
          <w:rPr>
            <w:rStyle w:val="Hyperlink"/>
          </w:rPr>
          <w:t xml:space="preserve">Table 6</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7</w:t>
        </w:r>
      </w:hyperlink>
      <w:r>
        <w:t xml:space="preserve">. The core results are plotted in</w:t>
      </w:r>
      <w:r>
        <w:t xml:space="preserve"> </w:t>
      </w:r>
      <w:hyperlink w:anchor="fig-results-events">
        <w:r>
          <w:rPr>
            <w:rStyle w:val="Hyperlink"/>
          </w:rPr>
          <w:t xml:space="preserve">Figure 5</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75" w:name="fig-results-events"/>
          <w:p>
            <w:pPr>
              <w:jc w:val="center"/>
            </w:pPr>
            <w:pPr>
              <w:jc w:val="start"/>
              <w:spacing w:before="200"/>
              <w:pStyle w:val="ImageCaption"/>
            </w:pPr>
            <w:r>
              <w:t xml:space="preserve">Figure 5: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67" name="Picture"/>
                        <a:graphic>
                          <a:graphicData uri="http://schemas.openxmlformats.org/drawingml/2006/picture">
                            <pic:pic>
                              <pic:nvPicPr>
                                <pic:cNvPr descr="index_files/figure-docx/results-events-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0" name="Picture"/>
                        <a:graphic>
                          <a:graphicData uri="http://schemas.openxmlformats.org/drawingml/2006/picture">
                            <pic:pic>
                              <pic:nvPicPr>
                                <pic:cNvPr descr="index_files/figure-docx/results-events-2.png" id="71" name="Picture"/>
                                <pic:cNvPicPr>
                                  <a:picLocks noChangeArrowheads="1" noChangeAspect="1"/>
                                </pic:cNvPicPr>
                              </pic:nvPicPr>
                              <pic:blipFill>
                                <a:blip r:embed="rId6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3" name="Picture"/>
                        <a:graphic>
                          <a:graphicData uri="http://schemas.openxmlformats.org/drawingml/2006/picture">
                            <pic:pic>
                              <pic:nvPicPr>
                                <pic:cNvPr descr="index_files/figure-docx/results-events-3.png" id="74" name="Picture"/>
                                <pic:cNvPicPr>
                                  <a:picLocks noChangeArrowheads="1" noChangeAspect="1"/>
                                </pic:cNvPicPr>
                              </pic:nvPicPr>
                              <pic:blipFill>
                                <a:blip r:embed="rId7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75"/>
        </w:tc>
      </w:tr>
    </w:tbl>
    <w:p>
      <w:pPr>
        <w:pStyle w:val="BodyText"/>
      </w:pPr>
      <w:r>
        <w:t xml:space="preserve">Those who experienced more adverse life events during the pandemic report substantially lower wellbeing, with the unconditional difference between the</w:t>
      </w:r>
      <w:r>
        <w:t xml:space="preserve"> </w:t>
      </w:r>
      <w:r>
        <w:t xml:space="preserve">“fewer”</w:t>
      </w:r>
      <w:r>
        <w:t xml:space="preserve"> </w:t>
      </w:r>
      <w:r>
        <w:t xml:space="preserve">and</w:t>
      </w:r>
      <w:r>
        <w:t xml:space="preserve"> </w:t>
      </w:r>
      <w:r>
        <w:t xml:space="preserve">“more”</w:t>
      </w:r>
      <w:r>
        <w:t xml:space="preserve"> </w:t>
      </w:r>
      <w:r>
        <w:t xml:space="preserve">adverse life events tertile groups being 1.4 points at Wave 1 and 1.3 points at Wave 2. A small part of this is explained by demographics (in E2), while more is explained by social support (in E3), especially for those who experienced the most adverse life events (i.e., the More Adverse Events Tertile Group), bringing the gap between low and high groups to 0.85 points at Wave 1 and 0.88 points at Wave 2.</w:t>
      </w:r>
    </w:p>
    <w:p>
      <w:pPr>
        <w:pStyle w:val="BodyText"/>
      </w:pPr>
      <w:r>
        <w:t xml:space="preserve">The patterns are similar but substantially attenuated when considering Wave 2 differences controlling for Wave 1 wellbeing. Nevertheless, there remains a substantial difference (0.36 points) in wellbeing at Wave 2 by adverse events experienced after controlling for Wave 1 wellbeing,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79" w:name="fig-results-events-perception"/>
          <w:p>
            <w:pPr>
              <w:jc w:val="center"/>
            </w:pPr>
            <w:pPr>
              <w:jc w:val="start"/>
              <w:spacing w:before="200"/>
              <w:pStyle w:val="ImageCaption"/>
            </w:pPr>
            <w:r>
              <w:t xml:space="preserve">Figure 6: Differences in wellbeing by perceived ongoing negative impact of the pandemic, with and without controlling for adverse life events</w:t>
            </w:r>
          </w:p>
          <w:p>
            <w:pPr>
              <w:jc w:val="center"/>
            </w:pPr>
            <w:r>
              <w:drawing>
                <wp:inline>
                  <wp:extent cx="5334000" cy="3810000"/>
                  <wp:effectExtent b="0" l="0" r="0" t="0"/>
                  <wp:docPr descr="" title="" id="77" name="Picture"/>
                  <a:graphic>
                    <a:graphicData uri="http://schemas.openxmlformats.org/drawingml/2006/picture">
                      <pic:pic>
                        <pic:nvPicPr>
                          <pic:cNvPr descr="index_files/figure-docx/results-events-perception-1.png" id="78"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w:t>
            </w:r>
            <w:r>
              <w:t xml:space="preserve">(for P3),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 </w:t>
            </w:r>
            <w:r>
              <w:t xml:space="preserve">(for E4).</w:t>
            </w:r>
          </w:p>
          <w:bookmarkEnd w:id="79"/>
        </w:tc>
      </w:tr>
    </w:tbl>
    <w:p>
      <w:pPr>
        <w:pStyle w:val="BodyText"/>
      </w:pPr>
      <w:r>
        <w:t xml:space="preserve">Building on the models reported in</w:t>
      </w:r>
      <w:r>
        <w:t xml:space="preserve"> </w:t>
      </w:r>
      <w:hyperlink w:anchor="fig-results-events">
        <w:r>
          <w:rPr>
            <w:rStyle w:val="Hyperlink"/>
          </w:rPr>
          <w:t xml:space="preserve">Figure 5</w:t>
        </w:r>
      </w:hyperlink>
      <w:r>
        <w:t xml:space="preserve">, we also explore whether the association between adverse life events and wellbeing is mediated by the perceived ongoing impact of the pandemic on wellbeing, plotting results in</w:t>
      </w:r>
      <w:r>
        <w:t xml:space="preserve"> </w:t>
      </w:r>
      <w:hyperlink w:anchor="fig-results-events-perception">
        <w:r>
          <w:rPr>
            <w:rStyle w:val="Hyperlink"/>
          </w:rPr>
          <w:t xml:space="preserve">Figure 6</w:t>
        </w:r>
      </w:hyperlink>
      <w:r>
        <w:t xml:space="preserve">. We find only a small part of perceived ongoing impact of the pandemic on wellbeing is explained by experience of adverse life events during the pandemic.</w:t>
      </w:r>
    </w:p>
    <w:p>
      <w:pPr>
        <w:pStyle w:val="BodyText"/>
      </w:pPr>
      <w:r>
        <w:t xml:space="preserve">We also explored whether there was evidence that adverse events matter more for some groups than others, but find little evidence of this.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7</w:t>
        </w:r>
      </w:hyperlink>
      <w:r>
        <w:t xml:space="preserve">.</w:t>
      </w:r>
    </w:p>
    <w:bookmarkEnd w:id="80"/>
    <w:bookmarkEnd w:id="81"/>
    <w:bookmarkStart w:id="82" w:name="sec-discussion"/>
    <w:p>
      <w:pPr>
        <w:pStyle w:val="Heading2"/>
      </w:pPr>
      <w:r>
        <w:t xml:space="preserve">5 Discussion, conclusions and limitations</w:t>
      </w:r>
    </w:p>
    <w:p>
      <w:pPr>
        <w:pStyle w:val="FirstParagraph"/>
      </w:pPr>
      <w:r>
        <w:t xml:space="preserve">This study contributes to existing literature on young people’s wellbeing in England in the aftermath of the COVID-19 pandemic by exploring levels of wellbeing at two time points since the pandemic and the factors associated with these levels. We build on existing work showing that the pandemic has had a negative impact on young people’s wellbeing</w:t>
      </w:r>
      <w:r>
        <w:t xml:space="preserve"> </w:t>
      </w:r>
      <w:r>
        <w:t xml:space="preserve">(e.g., Mansfield et al., 2022)</w:t>
      </w:r>
      <w:r>
        <w:t xml:space="preserve">, along with evidence of recovery in wellbeing in the latter phases of the pandemic</w:t>
      </w:r>
      <w:r>
        <w:t xml:space="preserve"> </w:t>
      </w:r>
      <w:r>
        <w:t xml:space="preserve">(Henseke et al., 2022; Henseke &amp; Schoon, 2025)</w:t>
      </w:r>
      <w:r>
        <w:t xml:space="preserve">, although we emphasise that our findings about the state of post-pandemic inequalities do not imply that these have been caused by the pandemic and its restrictions. We have, however, explored the ongoing role of the pandemic through the importance of young people’s own perceptions of its ongoing impact on their wellbeing, as well as the role of adverse life events experienced during the period.</w:t>
      </w:r>
    </w:p>
    <w:p>
      <w:pPr>
        <w:pStyle w:val="BodyText"/>
      </w:pPr>
      <w:r>
        <w:t xml:space="preserve">Our results contribute to evidence on gender differences in wellbeing</w:t>
      </w:r>
      <w:r>
        <w:t xml:space="preserve"> </w:t>
      </w:r>
      <w:r>
        <w:t xml:space="preserve">(e.g., Davillas &amp; Jones, 2021)</w:t>
      </w:r>
      <w:r>
        <w:t xml:space="preserve">. Girls and those who identify as non-binary or in another way report lower wellbeing scores (on a scale from 1-10 around 0.5 for girls; around 1.5 for non-binary+ young people) than boys. This persists after adjusting for demographic characteristics, self-reported levels of social support, and experience of adverse life events. These are substantial differences that are relevant to the higher rates of mental health challenges for those in these groups</w:t>
      </w:r>
      <w:r>
        <w:t xml:space="preserve"> </w:t>
      </w:r>
      <w:r>
        <w:t xml:space="preserve">(Yoon et al., 2023)</w:t>
      </w:r>
      <w:r>
        <w:t xml:space="preserve">. These residual differences also raise the possibility of variations by gender in the relative importance of different aspects of the social production function (SPF) itself</w:t>
      </w:r>
      <w:r>
        <w:t xml:space="preserve"> </w:t>
      </w:r>
      <w:r>
        <w:t xml:space="preserve">(Steverink et al., 2020)</w:t>
      </w:r>
      <w:r>
        <w:t xml:space="preserve">, rather than simply that the function’s inputs differ by gender, although, without analysis of all dimensions of the SPF, this study is not well-placed to provide strong evidence on this point.</w:t>
      </w:r>
    </w:p>
    <w:p>
      <w:pPr>
        <w:pStyle w:val="BodyText"/>
      </w:pPr>
      <w:r>
        <w:t xml:space="preserve">Our analysis makes innovative use of young people’s own perceptions of the ongoing impact of the pandemic on their mental wellbeing in order to validate and quantify these reports. Our findings illustrate the importance of taking such reports seriously: those who indicate an ongoing negative impact in their lives have substantially lower subjective wellbeing scores — more than 1 point on a 1-10 scale — with similar differences across demographic groups. Moreover, these differences are only partially explained by demographic characteristics, social support, or adverse life events experienced during the pandemic, while there is also little evidence of differential response to a perceived negative impact by socioeconomic background or demographic characteristics. This leaves a substantial difference in wellbeing associated with this perception demonstrating that such perceptions are informative in their own right, analogously to how educational expectations</w:t>
      </w:r>
      <w:r>
        <w:t xml:space="preserve"> </w:t>
      </w:r>
      <w:r>
        <w:t xml:space="preserve">(Anders, 2017)</w:t>
      </w:r>
      <w:r>
        <w:t xml:space="preserve"> </w:t>
      </w:r>
      <w:r>
        <w:t xml:space="preserve">and aspirations</w:t>
      </w:r>
      <w:r>
        <w:t xml:space="preserve"> </w:t>
      </w:r>
      <w:r>
        <w:t xml:space="preserve">(Hart, 2016)</w:t>
      </w:r>
      <w:r>
        <w:t xml:space="preserve"> </w:t>
      </w:r>
      <w:r>
        <w:t xml:space="preserve">can be informative of young people’s educational trajectories over and above other factors. As with that literature, our finding should not be taken to mean such perceptions should be considered causal</w:t>
      </w:r>
      <w:r>
        <w:t xml:space="preserve"> </w:t>
      </w:r>
      <w:r>
        <w:t xml:space="preserve">(Gorard, 2012)</w:t>
      </w:r>
      <w:r>
        <w:t xml:space="preserve">. While it is probable that there are elements of the SPF that underly these young people’s perceptions, we argue that this does not diminish their informational value and, hence, the importance of taking them seriously</w:t>
      </w:r>
      <w:r>
        <w:t xml:space="preserve"> </w:t>
      </w:r>
      <w:r>
        <w:t xml:space="preserve">(Morgan, 1998)</w:t>
      </w:r>
      <w:r>
        <w:t xml:space="preserve">. This implies that, nuancing our previous point, there are limits on the extent to which we can target support based on demographic characteristcs alone. Self-identification is likely necessary to find those most in need of support, albeit with risks since self-reporting behaviour in a survey likely differs from self-reporting for the purposes of intervention. These findings are similar in spirit to those of</w:t>
      </w:r>
      <w:r>
        <w:t xml:space="preserve"> </w:t>
      </w:r>
      <w:r>
        <w:t xml:space="preserve">Fernandez-Urbano &amp; Samuel (2024)</w:t>
      </w:r>
      <w:r>
        <w:t xml:space="preserve">, who identify contemporaneous links between how well young people report coping with the pandemic and their subjective wellbeing. We emphasise that the analogy is far from perfect: we are not claiming that a perception of continuing negative impact on wellbeing is the same thing as reporting not coping with the situation, for example. Moreover, unlike</w:t>
      </w:r>
      <w:r>
        <w:t xml:space="preserve"> </w:t>
      </w:r>
      <w:r>
        <w:t xml:space="preserve">Fernandez-Urbano &amp; Samuel (2024)</w:t>
      </w:r>
      <w:r>
        <w:t xml:space="preserve">, we do not find evidence of differences in response by young people’s socioeconomic status. Nevertheless, these findings align in illustrating the role of such reports in understanding young people’s wellbeing.</w:t>
      </w:r>
    </w:p>
    <w:p>
      <w:pPr>
        <w:pStyle w:val="BodyText"/>
      </w:pPr>
      <w:r>
        <w:t xml:space="preserve">Adverse life events experienced during the pandemic are also found to predict lower subjective wellbeing. This is consistent with these undermining aspects of the SPF, such as affection (for events such as arguments within the home) or comfort (in situations of financial distress)</w:t>
      </w:r>
      <w:r>
        <w:t xml:space="preserve"> </w:t>
      </w:r>
      <w:r>
        <w:t xml:space="preserve">(Chesters, 2025)</w:t>
      </w:r>
      <w:r>
        <w:t xml:space="preserve">, along with previous findings that adverse life events are associated with lower wellbeing</w:t>
      </w:r>
      <w:r>
        <w:t xml:space="preserve"> </w:t>
      </w:r>
      <w:r>
        <w:t xml:space="preserve">(Hombrados-Mendieta et al., 2019; McKnight et al., 2002)</w:t>
      </w:r>
      <w:r>
        <w:t xml:space="preserve">. However, contrary to our expectations, and others’ findings</w:t>
      </w:r>
      <w:r>
        <w:t xml:space="preserve"> </w:t>
      </w:r>
      <w:r>
        <w:t xml:space="preserve">(Aksoy et al., 2024; Ferreira et al., 2021; Kearns et al., 2015)</w:t>
      </w:r>
      <w:r>
        <w:t xml:space="preserve">, we did not find evidence that social support mediates or buffers the impact of adverse life events in the context of this study. One potential reason for this is that the source of the social support matters:</w:t>
      </w:r>
      <w:r>
        <w:t xml:space="preserve"> </w:t>
      </w:r>
      <w:r>
        <w:t xml:space="preserve">Lee &amp; Goldstein (2016)</w:t>
      </w:r>
      <w:r>
        <w:t xml:space="preserve"> </w:t>
      </w:r>
      <w:r>
        <w:t xml:space="preserve">find that only support from friends (not family or partners) matters in a study of the stress-buffering role of social support for loneliness. We would expect this to be the source of social support most likely to be cut off by COVID-19 restrictions, although we note that this will not be entirely the case due to the compensatory mechanism of increased use of digital contact between friends in the context of the pandemic</w:t>
      </w:r>
      <w:r>
        <w:t xml:space="preserve"> </w:t>
      </w:r>
      <w:r>
        <w:t xml:space="preserve">(Juvonen et al., 2022)</w:t>
      </w:r>
      <w:r>
        <w:t xml:space="preserve">. Nevertheless, we contend that this is unlikely entirely successfully to replicate the benefits of in-person contact</w:t>
      </w:r>
      <w:r>
        <w:t xml:space="preserve"> </w:t>
      </w:r>
      <w:r>
        <w:t xml:space="preserve">(Flannery et al., 2021; Long et al., 2022)</w:t>
      </w:r>
      <w:r>
        <w:t xml:space="preserve">. More methodologically, with hindsight we note that, while our measures of social support are contemporaneous with our wellbeing measures, they are not contemporaneous with the timing of the adverse events themselves, which may mean they are not providing an accurate depiction of perceived social support during pandemic disruption.</w:t>
      </w:r>
    </w:p>
    <w:p>
      <w:pPr>
        <w:pStyle w:val="BodyText"/>
      </w:pPr>
      <w:r>
        <w:t xml:space="preserve">This study benefits from a large, representative, longitudinal dataset, with direct reports from both young people and parents to improve the quality of data collected. Nevertheless, we are mindful of the limitations of this study, most particularly that our data lacks pre-pandemic baseline measures of wellbeing, which would substantially increase our ability to understand the longer-term dynamics of the changes (or lack thereof) in wellbeing that we have observed. Furthermore, our data is drawn from a single cohort of young people in England, whose final years in compulsory education were especially disrupted by the impacts of the pandemic, which is important context in any attempt to generalise our findings to other populations. We also note the small sample size of our non-binary+ group, which limits the robustness of findings for this group.</w:t>
      </w:r>
    </w:p>
    <w:p>
      <w:pPr>
        <w:pStyle w:val="BodyText"/>
      </w:pPr>
      <w:r>
        <w:t xml:space="preserve">Our findings indicate continuing challenges of inequalities in young people’s wellbeing and, hence, the importance of ongoing targeted support to overcome these. We reiterate, however, that we do not link these inequalities particularly with lingering effects of the pandemic since we did not find evidence of differences in the association between perceived continuing impact of the pandemic on wellbeing and young people’s socioeconomic or demographic characteristics. However, in some ways inequalities not linked to the pandemic are of greater concern, given little reason to expect them to subside without intervention. As such, the large differences in wellbeing associated with identifying as non-binary or in another way may suggest a particular need for support among this group, although we reiterate the small sample sizes involved in findings for those identifying as neither male nor female, making further evidence for this group especially important. The practicalities of providing support at scale are now much harder for our specific cohort, since many have now left education entirely. Nevertheless, the issues discussed will apply similarly to those still working their way through the education system who could be reached through schools and colleges. As well as the negative implications for the life experiences of these young people, ignoring this issue has potential implications for national economic performance</w:t>
      </w:r>
      <w:r>
        <w:t xml:space="preserve"> </w:t>
      </w:r>
      <w:r>
        <w:t xml:space="preserve">(Deaton, 2008)</w:t>
      </w:r>
      <w:r>
        <w:t xml:space="preserve">, including via increased risk of mental health challenges</w:t>
      </w:r>
      <w:r>
        <w:t xml:space="preserve"> </w:t>
      </w:r>
      <w:r>
        <w:t xml:space="preserve">(Lombardo et al., 2018)</w:t>
      </w:r>
      <w:r>
        <w:t xml:space="preserve">.</w:t>
      </w:r>
    </w:p>
    <w:bookmarkEnd w:id="82"/>
    <w:bookmarkStart w:id="226" w:name="references"/>
    <w:p>
      <w:pPr>
        <w:pStyle w:val="Heading2"/>
      </w:pPr>
      <w:r>
        <w:t xml:space="preserve">References</w:t>
      </w:r>
    </w:p>
    <w:bookmarkStart w:id="225" w:name="refs"/>
    <w:bookmarkStart w:id="83"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UCL Centre for Education Policy; Equalising Opportunities.</w:t>
      </w:r>
    </w:p>
    <w:bookmarkEnd w:id="83"/>
    <w:bookmarkStart w:id="84"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UCL Centre for Education Policy; Equalising Opportunities.</w:t>
      </w:r>
    </w:p>
    <w:bookmarkEnd w:id="84"/>
    <w:bookmarkStart w:id="86"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1–14.</w:t>
      </w:r>
      <w:r>
        <w:t xml:space="preserve"> </w:t>
      </w:r>
      <w:hyperlink r:id="rId85">
        <w:r>
          <w:rPr>
            <w:rStyle w:val="Hyperlink"/>
          </w:rPr>
          <w:t xml:space="preserve">https://doi.org/10.1186/s40359-024-01596-x</w:t>
        </w:r>
      </w:hyperlink>
    </w:p>
    <w:bookmarkEnd w:id="86"/>
    <w:bookmarkStart w:id="88" w:name="ref-Anders2017b"/>
    <w:p>
      <w:pPr>
        <w:pStyle w:val="Bibliography"/>
      </w:pPr>
      <w:r>
        <w:t xml:space="preserve">Anders, J. (2017). The influence of socioeconomic status on changes in young people’s expectations of applying to university.</w:t>
      </w:r>
      <w:r>
        <w:t xml:space="preserve"> </w:t>
      </w:r>
      <w:r>
        <w:rPr>
          <w:i/>
          <w:iCs/>
        </w:rPr>
        <w:t xml:space="preserve">Oxford Review of Education</w:t>
      </w:r>
      <w:r>
        <w:t xml:space="preserve">,</w:t>
      </w:r>
      <w:r>
        <w:t xml:space="preserve"> </w:t>
      </w:r>
      <w:r>
        <w:rPr>
          <w:i/>
          <w:iCs/>
        </w:rPr>
        <w:t xml:space="preserve">43</w:t>
      </w:r>
      <w:r>
        <w:t xml:space="preserve">(4), 1–21.</w:t>
      </w:r>
      <w:r>
        <w:t xml:space="preserve"> </w:t>
      </w:r>
      <w:hyperlink r:id="rId87">
        <w:r>
          <w:rPr>
            <w:rStyle w:val="Hyperlink"/>
          </w:rPr>
          <w:t xml:space="preserve">https://doi.org/10.1080/03054985.2017.1329722</w:t>
        </w:r>
      </w:hyperlink>
    </w:p>
    <w:bookmarkEnd w:id="88"/>
    <w:bookmarkStart w:id="90" w:name="ref-Anders2024"/>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r>
        <w:t xml:space="preserve"> </w:t>
      </w:r>
      <w:hyperlink r:id="rId89">
        <w:r>
          <w:rPr>
            <w:rStyle w:val="Hyperlink"/>
          </w:rPr>
          <w:t xml:space="preserve">https://data.europa.eu/doi/10.2760/800165</w:t>
        </w:r>
      </w:hyperlink>
    </w:p>
    <w:bookmarkEnd w:id="90"/>
    <w:bookmarkStart w:id="92" w:name="ref-Anders2024a"/>
    <w:p>
      <w:pPr>
        <w:pStyle w:val="Bibliography"/>
      </w:pPr>
      <w:r>
        <w:t xml:space="preserve">Anders, J., Calderwood, L., Crawford, C., Cullinane, C., Goodman, A., Macmillan, L., Patalay, P., &amp; Wyness, G.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w:t>
      </w:r>
      <w:r>
        <w:t xml:space="preserve">(4th Edition) [dataset]. UK Data Service.</w:t>
      </w:r>
      <w:r>
        <w:t xml:space="preserve"> </w:t>
      </w:r>
      <w:hyperlink r:id="rId91">
        <w:r>
          <w:rPr>
            <w:rStyle w:val="Hyperlink"/>
          </w:rPr>
          <w:t xml:space="preserve">https://doi.org/10.5255/UKDA-SN-9000-4</w:t>
        </w:r>
      </w:hyperlink>
    </w:p>
    <w:bookmarkEnd w:id="92"/>
    <w:bookmarkStart w:id="94" w:name="ref-Anders2024b"/>
    <w:p>
      <w:pPr>
        <w:pStyle w:val="Bibliography"/>
      </w:pPr>
      <w:r>
        <w:t xml:space="preserve">Anders, J., Calderwood, L., Crawford, C., Cullinane, C., Goodman, A., Macmillan, L., Patalay, P., &amp; Wyness, G.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w:t>
      </w:r>
      <w:r>
        <w:t xml:space="preserve">(2nd Edition) [dataset]. UK Data Service.</w:t>
      </w:r>
      <w:r>
        <w:t xml:space="preserve"> </w:t>
      </w:r>
      <w:hyperlink r:id="rId93">
        <w:r>
          <w:rPr>
            <w:rStyle w:val="Hyperlink"/>
          </w:rPr>
          <w:t xml:space="preserve">https://doi.org/10.5255/UKDA-SN-9158-2</w:t>
        </w:r>
      </w:hyperlink>
    </w:p>
    <w:bookmarkEnd w:id="94"/>
    <w:bookmarkStart w:id="96"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95">
        <w:r>
          <w:rPr>
            <w:rStyle w:val="Hyperlink"/>
          </w:rPr>
          <w:t xml:space="preserve">https://doi.org/10.1080/03054985.2022.2124964</w:t>
        </w:r>
      </w:hyperlink>
    </w:p>
    <w:bookmarkEnd w:id="96"/>
    <w:bookmarkStart w:id="98"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97">
        <w:r>
          <w:rPr>
            <w:rStyle w:val="Hyperlink"/>
          </w:rPr>
          <w:t xml:space="preserve">https://doi.org/10.1007/s12232-024-00453-y</w:t>
        </w:r>
      </w:hyperlink>
    </w:p>
    <w:bookmarkEnd w:id="98"/>
    <w:bookmarkStart w:id="100"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99">
        <w:r>
          <w:rPr>
            <w:rStyle w:val="Hyperlink"/>
          </w:rPr>
          <w:t xml:space="preserve">https://doi.org/10.1002/jcv2.12164</w:t>
        </w:r>
      </w:hyperlink>
    </w:p>
    <w:bookmarkEnd w:id="100"/>
    <w:bookmarkStart w:id="102"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01">
        <w:r>
          <w:rPr>
            <w:rStyle w:val="Hyperlink"/>
          </w:rPr>
          <w:t xml:space="preserve">https://doi.org/10.1111/1475-5890.12239</w:t>
        </w:r>
      </w:hyperlink>
    </w:p>
    <w:bookmarkEnd w:id="102"/>
    <w:bookmarkStart w:id="104"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03">
        <w:r>
          <w:rPr>
            <w:rStyle w:val="Hyperlink"/>
          </w:rPr>
          <w:t xml:space="preserve">https://doi.org/10.1007/s00148-020-00797-z</w:t>
        </w:r>
      </w:hyperlink>
    </w:p>
    <w:bookmarkEnd w:id="104"/>
    <w:bookmarkStart w:id="106" w:name="ref-Chesters2025"/>
    <w:p>
      <w:pPr>
        <w:pStyle w:val="Bibliography"/>
      </w:pPr>
      <w:r>
        <w:t xml:space="preserve">Chesters, J. (2025). The</w:t>
      </w:r>
      <w:r>
        <w:t xml:space="preserve"> </w:t>
      </w:r>
      <w:r>
        <w:t xml:space="preserve">Impact</w:t>
      </w:r>
      <w:r>
        <w:t xml:space="preserve"> </w:t>
      </w:r>
      <w:r>
        <w:t xml:space="preserve">of</w:t>
      </w:r>
      <w:r>
        <w:t xml:space="preserve"> </w:t>
      </w:r>
      <w:r>
        <w:t xml:space="preserve">COVID-19</w:t>
      </w:r>
      <w:r>
        <w:t xml:space="preserve"> </w:t>
      </w:r>
      <w:r>
        <w:t xml:space="preserve">on</w:t>
      </w:r>
      <w:r>
        <w:t xml:space="preserve"> </w:t>
      </w:r>
      <w:r>
        <w:t xml:space="preserve">Young People</w:t>
      </w:r>
      <w:r>
        <w:t xml:space="preserve">’s</w:t>
      </w:r>
      <w:r>
        <w:t xml:space="preserve"> </w:t>
      </w:r>
      <w:r>
        <w:t xml:space="preserve">Levels</w:t>
      </w:r>
      <w:r>
        <w:t xml:space="preserve"> </w:t>
      </w:r>
      <w:r>
        <w:t xml:space="preserve">of</w:t>
      </w:r>
      <w:r>
        <w:t xml:space="preserve"> </w:t>
      </w:r>
      <w:r>
        <w:t xml:space="preserve">Subjective Well-being</w:t>
      </w:r>
      <w:r>
        <w:t xml:space="preserve">:</w:t>
      </w:r>
      <w:r>
        <w:t xml:space="preserve"> </w:t>
      </w:r>
      <w:r>
        <w:t xml:space="preserve">Evidence</w:t>
      </w:r>
      <w:r>
        <w:t xml:space="preserve"> </w:t>
      </w:r>
      <w:r>
        <w:t xml:space="preserve">from</w:t>
      </w:r>
      <w:r>
        <w:t xml:space="preserve"> </w:t>
      </w:r>
      <w:r>
        <w:t xml:space="preserve">HILDA</w:t>
      </w:r>
      <w:r>
        <w:t xml:space="preserve"> </w:t>
      </w:r>
      <w:r>
        <w:t xml:space="preserve">2001–2020. In C. Suter, J. Chesters, &amp; S. Fachelli (Eds.),</w:t>
      </w:r>
      <w:r>
        <w:t xml:space="preserve"> </w:t>
      </w:r>
      <w:r>
        <w:rPr>
          <w:i/>
          <w:iCs/>
        </w:rPr>
        <w:t xml:space="preserve">Well-being</w:t>
      </w:r>
      <w:r>
        <w:rPr>
          <w:i/>
          <w:iCs/>
        </w:rPr>
        <w:t xml:space="preserve"> </w:t>
      </w:r>
      <w:r>
        <w:rPr>
          <w:i/>
          <w:iCs/>
        </w:rPr>
        <w:t xml:space="preserve">During</w:t>
      </w:r>
      <w:r>
        <w:rPr>
          <w:i/>
          <w:iCs/>
        </w:rPr>
        <w:t xml:space="preserve"> </w:t>
      </w:r>
      <w:r>
        <w:rPr>
          <w:i/>
          <w:iCs/>
        </w:rPr>
        <w:t xml:space="preserve">the</w:t>
      </w:r>
      <w:r>
        <w:rPr>
          <w:i/>
          <w:iCs/>
        </w:rPr>
        <w:t xml:space="preserve"> </w:t>
      </w:r>
      <w:r>
        <w:rPr>
          <w:i/>
          <w:iCs/>
        </w:rPr>
        <w:t xml:space="preserve">Pandemic</w:t>
      </w:r>
      <w:r>
        <w:rPr>
          <w:i/>
          <w:iCs/>
        </w:rPr>
        <w:t xml:space="preserve">:</w:t>
      </w:r>
      <w:r>
        <w:rPr>
          <w:i/>
          <w:iCs/>
        </w:rPr>
        <w:t xml:space="preserve"> </w:t>
      </w:r>
      <w:r>
        <w:rPr>
          <w:i/>
          <w:iCs/>
        </w:rPr>
        <w:t xml:space="preserve">Comparative Perspectives</w:t>
      </w:r>
      <w:r>
        <w:rPr>
          <w:i/>
          <w:iCs/>
        </w:rPr>
        <w:t xml:space="preserve"> </w:t>
      </w:r>
      <w:r>
        <w:rPr>
          <w:i/>
          <w:iCs/>
        </w:rPr>
        <w:t xml:space="preserve">from the</w:t>
      </w:r>
      <w:r>
        <w:rPr>
          <w:i/>
          <w:iCs/>
        </w:rPr>
        <w:t xml:space="preserve"> </w:t>
      </w:r>
      <w:r>
        <w:rPr>
          <w:i/>
          <w:iCs/>
        </w:rPr>
        <w:t xml:space="preserve">Global North</w:t>
      </w:r>
      <w:r>
        <w:rPr>
          <w:i/>
          <w:iCs/>
        </w:rPr>
        <w:t xml:space="preserve"> </w:t>
      </w:r>
      <w:r>
        <w:rPr>
          <w:i/>
          <w:iCs/>
        </w:rPr>
        <w:t xml:space="preserve">and</w:t>
      </w:r>
      <w:r>
        <w:rPr>
          <w:i/>
          <w:iCs/>
        </w:rPr>
        <w:t xml:space="preserve"> </w:t>
      </w:r>
      <w:r>
        <w:rPr>
          <w:i/>
          <w:iCs/>
        </w:rPr>
        <w:t xml:space="preserve">South</w:t>
      </w:r>
      <w:r>
        <w:t xml:space="preserve"> </w:t>
      </w:r>
      <w:r>
        <w:t xml:space="preserve">(pp. 279–295). Springer Nature Switzerland.</w:t>
      </w:r>
      <w:r>
        <w:t xml:space="preserve"> </w:t>
      </w:r>
      <w:hyperlink r:id="rId105">
        <w:r>
          <w:rPr>
            <w:rStyle w:val="Hyperlink"/>
          </w:rPr>
          <w:t xml:space="preserve">https://doi.org/10.1007/978-3-031-63440-6_13</w:t>
        </w:r>
      </w:hyperlink>
    </w:p>
    <w:bookmarkEnd w:id="106"/>
    <w:bookmarkStart w:id="108"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07">
        <w:r>
          <w:rPr>
            <w:rStyle w:val="Hyperlink"/>
          </w:rPr>
          <w:t xml:space="preserve">https://doi.org/10.1186/s13104-016-2278-x</w:t>
        </w:r>
      </w:hyperlink>
    </w:p>
    <w:bookmarkEnd w:id="108"/>
    <w:bookmarkStart w:id="110"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09">
        <w:r>
          <w:rPr>
            <w:rStyle w:val="Hyperlink"/>
          </w:rPr>
          <w:t xml:space="preserve">https://doi.org/10.1002/rev3.3116</w:t>
        </w:r>
      </w:hyperlink>
    </w:p>
    <w:bookmarkEnd w:id="110"/>
    <w:bookmarkStart w:id="112"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11">
        <w:r>
          <w:rPr>
            <w:rStyle w:val="Hyperlink"/>
          </w:rPr>
          <w:t xml:space="preserve">https://doi.org/10.1016/S2352-4642(21)00177-2</w:t>
        </w:r>
      </w:hyperlink>
    </w:p>
    <w:bookmarkEnd w:id="112"/>
    <w:bookmarkStart w:id="114"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w:t>
      </w:r>
      <w:r>
        <w:t xml:space="preserve">[dataset]. American Psychological Association.</w:t>
      </w:r>
      <w:r>
        <w:t xml:space="preserve"> </w:t>
      </w:r>
      <w:hyperlink r:id="rId113">
        <w:r>
          <w:rPr>
            <w:rStyle w:val="Hyperlink"/>
          </w:rPr>
          <w:t xml:space="preserve">https://doi.org/10.1037/t06213-000</w:t>
        </w:r>
      </w:hyperlink>
    </w:p>
    <w:bookmarkEnd w:id="114"/>
    <w:bookmarkStart w:id="116" w:name="ref-Davillas2021a"/>
    <w:p>
      <w:pPr>
        <w:pStyle w:val="Bibliography"/>
      </w:pPr>
      <w:r>
        <w:t xml:space="preserve">Davillas, A., &amp; Jones, A. M. (2021). The first wave of the</w:t>
      </w:r>
      <w:r>
        <w:t xml:space="preserve"> </w:t>
      </w:r>
      <w:r>
        <w:t xml:space="preserve">COVID-19</w:t>
      </w:r>
      <w:r>
        <w:t xml:space="preserve"> </w:t>
      </w:r>
      <w:r>
        <w:t xml:space="preserve">pandemic and its impact on socioeconomic inequality in psychological distress in the</w:t>
      </w:r>
      <w:r>
        <w:t xml:space="preserve"> </w:t>
      </w:r>
      <w:r>
        <w:t xml:space="preserve">UK</w:t>
      </w:r>
      <w:r>
        <w:t xml:space="preserve">.</w:t>
      </w:r>
      <w:r>
        <w:t xml:space="preserve"> </w:t>
      </w:r>
      <w:r>
        <w:rPr>
          <w:i/>
          <w:iCs/>
        </w:rPr>
        <w:t xml:space="preserve">Health Economics</w:t>
      </w:r>
      <w:r>
        <w:t xml:space="preserve">,</w:t>
      </w:r>
      <w:r>
        <w:t xml:space="preserve"> </w:t>
      </w:r>
      <w:r>
        <w:rPr>
          <w:i/>
          <w:iCs/>
        </w:rPr>
        <w:t xml:space="preserve">30</w:t>
      </w:r>
      <w:r>
        <w:t xml:space="preserve">(7), 1668–1683.</w:t>
      </w:r>
      <w:r>
        <w:t xml:space="preserve"> </w:t>
      </w:r>
      <w:hyperlink r:id="rId115">
        <w:r>
          <w:rPr>
            <w:rStyle w:val="Hyperlink"/>
          </w:rPr>
          <w:t xml:space="preserve">https://doi.org/10.1002/hec.4275</w:t>
        </w:r>
      </w:hyperlink>
    </w:p>
    <w:bookmarkEnd w:id="116"/>
    <w:bookmarkStart w:id="118"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17">
        <w:r>
          <w:rPr>
            <w:rStyle w:val="Hyperlink"/>
          </w:rPr>
          <w:t xml:space="preserve">https://doi.org/10.1037/amp0000838</w:t>
        </w:r>
      </w:hyperlink>
    </w:p>
    <w:bookmarkEnd w:id="118"/>
    <w:bookmarkStart w:id="120"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19">
        <w:r>
          <w:rPr>
            <w:rStyle w:val="Hyperlink"/>
          </w:rPr>
          <w:t xml:space="preserve">https://doi.org/10.1257/jep.22.2.53</w:t>
        </w:r>
      </w:hyperlink>
    </w:p>
    <w:bookmarkEnd w:id="120"/>
    <w:bookmarkStart w:id="122" w:name="ref-Demaray2005"/>
    <w:p>
      <w:pPr>
        <w:pStyle w:val="Bibliography"/>
      </w:pPr>
      <w:r>
        <w:t xml:space="preserve">Demaray, M. K., Malecki, C. K., Davidson, L. M., Hodgson, K. K., &amp; Rebus, P. J. (2005). The relationship between social support and student adjustment:</w:t>
      </w:r>
      <w:r>
        <w:t xml:space="preserve"> </w:t>
      </w:r>
      <w:r>
        <w:t xml:space="preserve">A</w:t>
      </w:r>
      <w:r>
        <w:t xml:space="preserve"> </w:t>
      </w:r>
      <w:r>
        <w:t xml:space="preserve">longitudinal analysis.</w:t>
      </w:r>
      <w:r>
        <w:t xml:space="preserve"> </w:t>
      </w:r>
      <w:r>
        <w:rPr>
          <w:i/>
          <w:iCs/>
        </w:rPr>
        <w:t xml:space="preserve">Psychology in the Schools</w:t>
      </w:r>
      <w:r>
        <w:t xml:space="preserve">,</w:t>
      </w:r>
      <w:r>
        <w:t xml:space="preserve"> </w:t>
      </w:r>
      <w:r>
        <w:rPr>
          <w:i/>
          <w:iCs/>
        </w:rPr>
        <w:t xml:space="preserve">42</w:t>
      </w:r>
      <w:r>
        <w:t xml:space="preserve">(7), 691–706.</w:t>
      </w:r>
      <w:r>
        <w:t xml:space="preserve"> </w:t>
      </w:r>
      <w:hyperlink r:id="rId121">
        <w:r>
          <w:rPr>
            <w:rStyle w:val="Hyperlink"/>
          </w:rPr>
          <w:t xml:space="preserve">https://doi.org/10.1002/pits.20120</w:t>
        </w:r>
      </w:hyperlink>
    </w:p>
    <w:bookmarkEnd w:id="122"/>
    <w:bookmarkStart w:id="124" w:name="ref-Fernandez-Urbano2024"/>
    <w:p>
      <w:pPr>
        <w:pStyle w:val="Bibliography"/>
      </w:pPr>
      <w:r>
        <w:t xml:space="preserve">Fernandez-Urbano, R., &amp; Samuel, R. (2024). Youths’</w:t>
      </w:r>
      <w:r>
        <w:t xml:space="preserve"> </w:t>
      </w:r>
      <w:r>
        <w:t xml:space="preserve">Perceived Coping</w:t>
      </w:r>
      <w:r>
        <w:t xml:space="preserve"> </w:t>
      </w:r>
      <w:r>
        <w:t xml:space="preserve">with the</w:t>
      </w:r>
      <w:r>
        <w:t xml:space="preserve"> </w:t>
      </w:r>
      <w:r>
        <w:t xml:space="preserve">COVID-19 Pandemic</w:t>
      </w:r>
      <w:r>
        <w:t xml:space="preserve"> </w:t>
      </w:r>
      <w:r>
        <w:t xml:space="preserve">and</w:t>
      </w:r>
      <w:r>
        <w:t xml:space="preserve"> </w:t>
      </w:r>
      <w:r>
        <w:t xml:space="preserve">Subjective Well-Being</w:t>
      </w:r>
      <w:r>
        <w:t xml:space="preserve">:</w:t>
      </w:r>
      <w:r>
        <w:t xml:space="preserve"> </w:t>
      </w:r>
      <w:r>
        <w:t xml:space="preserve">The Moderating Role</w:t>
      </w:r>
      <w:r>
        <w:t xml:space="preserve"> </w:t>
      </w:r>
      <w:r>
        <w:t xml:space="preserve">of</w:t>
      </w:r>
      <w:r>
        <w:t xml:space="preserve"> </w:t>
      </w:r>
      <w:r>
        <w:t xml:space="preserve">Subjective Social Status</w:t>
      </w:r>
      <w:r>
        <w:t xml:space="preserve">.</w:t>
      </w:r>
      <w:r>
        <w:t xml:space="preserve"> </w:t>
      </w:r>
      <w:r>
        <w:rPr>
          <w:i/>
          <w:iCs/>
        </w:rPr>
        <w:t xml:space="preserve">Social Indicators Research</w:t>
      </w:r>
      <w:r>
        <w:t xml:space="preserve">,</w:t>
      </w:r>
      <w:r>
        <w:t xml:space="preserve"> </w:t>
      </w:r>
      <w:r>
        <w:rPr>
          <w:i/>
          <w:iCs/>
        </w:rPr>
        <w:t xml:space="preserve">172</w:t>
      </w:r>
      <w:r>
        <w:t xml:space="preserve">(3), 803–830.</w:t>
      </w:r>
      <w:r>
        <w:t xml:space="preserve"> </w:t>
      </w:r>
      <w:hyperlink r:id="rId123">
        <w:r>
          <w:rPr>
            <w:rStyle w:val="Hyperlink"/>
          </w:rPr>
          <w:t xml:space="preserve">https://doi.org/10.1007/s11205-024-03307-w</w:t>
        </w:r>
      </w:hyperlink>
    </w:p>
    <w:bookmarkEnd w:id="124"/>
    <w:bookmarkStart w:id="126" w:name="ref-Ferreira2021"/>
    <w:p>
      <w:pPr>
        <w:pStyle w:val="Bibliography"/>
      </w:pPr>
      <w:r>
        <w:t xml:space="preserve">Ferreira, C., Barreto, M., &amp; Oliveira, S. (2021). The</w:t>
      </w:r>
      <w:r>
        <w:t xml:space="preserve"> </w:t>
      </w:r>
      <w:r>
        <w:t xml:space="preserve">Link Between Major Life Events</w:t>
      </w:r>
      <w:r>
        <w:t xml:space="preserve"> </w:t>
      </w:r>
      <w:r>
        <w:t xml:space="preserve">and</w:t>
      </w:r>
      <w:r>
        <w:t xml:space="preserve"> </w:t>
      </w:r>
      <w:r>
        <w:t xml:space="preserve">Quality</w:t>
      </w:r>
      <w:r>
        <w:t xml:space="preserve"> </w:t>
      </w:r>
      <w:r>
        <w:t xml:space="preserve">of</w:t>
      </w:r>
      <w:r>
        <w:t xml:space="preserve"> </w:t>
      </w:r>
      <w:r>
        <w:t xml:space="preserve">Life</w:t>
      </w:r>
      <w:r>
        <w:t xml:space="preserve">:</w:t>
      </w:r>
      <w:r>
        <w:t xml:space="preserve"> </w:t>
      </w:r>
      <w:r>
        <w:t xml:space="preserve">The Role</w:t>
      </w:r>
      <w:r>
        <w:t xml:space="preserve"> </w:t>
      </w:r>
      <w:r>
        <w:t xml:space="preserve">of</w:t>
      </w:r>
      <w:r>
        <w:t xml:space="preserve"> </w:t>
      </w:r>
      <w:r>
        <w:t xml:space="preserve">Compassionate Abilities</w:t>
      </w:r>
      <w:r>
        <w:t xml:space="preserve">.</w:t>
      </w:r>
      <w:r>
        <w:t xml:space="preserve"> </w:t>
      </w:r>
      <w:r>
        <w:rPr>
          <w:i/>
          <w:iCs/>
        </w:rPr>
        <w:t xml:space="preserve">Community Mental Health Journal</w:t>
      </w:r>
      <w:r>
        <w:t xml:space="preserve">,</w:t>
      </w:r>
      <w:r>
        <w:t xml:space="preserve"> </w:t>
      </w:r>
      <w:r>
        <w:rPr>
          <w:i/>
          <w:iCs/>
        </w:rPr>
        <w:t xml:space="preserve">57</w:t>
      </w:r>
      <w:r>
        <w:t xml:space="preserve">(2), 219–227.</w:t>
      </w:r>
      <w:r>
        <w:t xml:space="preserve"> </w:t>
      </w:r>
      <w:hyperlink r:id="rId125">
        <w:r>
          <w:rPr>
            <w:rStyle w:val="Hyperlink"/>
          </w:rPr>
          <w:t xml:space="preserve">https://doi.org/10.1007/s10597-020-00638-z</w:t>
        </w:r>
      </w:hyperlink>
    </w:p>
    <w:bookmarkEnd w:id="126"/>
    <w:bookmarkStart w:id="128" w:name="ref-Flannery2021"/>
    <w:p>
      <w:pPr>
        <w:pStyle w:val="Bibliography"/>
      </w:pPr>
      <w:r>
        <w:t xml:space="preserve">Flannery, H., Portnoy, S., Daniildi, X., Kambakara Gedara, C., Korchak, G., Lambert, D., McParland, J., Payne, L., Salvo, T., Valentino, C., &amp; Christie, D. (2021). Keeping young people connected during</w:t>
      </w:r>
      <w:r>
        <w:t xml:space="preserve"> </w:t>
      </w:r>
      <w:r>
        <w:t xml:space="preserve">COVID-19</w:t>
      </w:r>
      <w:r>
        <w:t xml:space="preserve">: The role of online groups.</w:t>
      </w:r>
      <w:r>
        <w:t xml:space="preserve"> </w:t>
      </w:r>
      <w:r>
        <w:rPr>
          <w:i/>
          <w:iCs/>
        </w:rPr>
        <w:t xml:space="preserve">Archives of Disease in Childhood</w:t>
      </w:r>
      <w:r>
        <w:t xml:space="preserve">,</w:t>
      </w:r>
      <w:r>
        <w:t xml:space="preserve"> </w:t>
      </w:r>
      <w:r>
        <w:rPr>
          <w:i/>
          <w:iCs/>
        </w:rPr>
        <w:t xml:space="preserve">106</w:t>
      </w:r>
      <w:r>
        <w:t xml:space="preserve">(8), 739–744.</w:t>
      </w:r>
      <w:r>
        <w:t xml:space="preserve"> </w:t>
      </w:r>
      <w:hyperlink r:id="rId127">
        <w:r>
          <w:rPr>
            <w:rStyle w:val="Hyperlink"/>
          </w:rPr>
          <w:t xml:space="preserve">https://doi.org/10.1136/archdischild-2020-320222</w:t>
        </w:r>
      </w:hyperlink>
    </w:p>
    <w:bookmarkEnd w:id="128"/>
    <w:bookmarkStart w:id="130" w:name="ref-Gorard2012"/>
    <w:p>
      <w:pPr>
        <w:pStyle w:val="Bibliography"/>
      </w:pPr>
      <w:r>
        <w:t xml:space="preserve">Gorard, S. (2012). Querying the causal role of attitudes in educational attainment.</w:t>
      </w:r>
      <w:r>
        <w:t xml:space="preserve"> </w:t>
      </w:r>
      <w:r>
        <w:rPr>
          <w:i/>
          <w:iCs/>
        </w:rPr>
        <w:t xml:space="preserve">ISRN Education</w:t>
      </w:r>
      <w:r>
        <w:t xml:space="preserve">,</w:t>
      </w:r>
      <w:r>
        <w:t xml:space="preserve"> </w:t>
      </w:r>
      <w:r>
        <w:rPr>
          <w:i/>
          <w:iCs/>
        </w:rPr>
        <w:t xml:space="preserve">2012</w:t>
      </w:r>
      <w:r>
        <w:t xml:space="preserve">, Article ID 501589.</w:t>
      </w:r>
      <w:r>
        <w:t xml:space="preserve"> </w:t>
      </w:r>
      <w:hyperlink r:id="rId129">
        <w:r>
          <w:rPr>
            <w:rStyle w:val="Hyperlink"/>
          </w:rPr>
          <w:t xml:space="preserve">https://doi.org/10.5402/2012/501589</w:t>
        </w:r>
      </w:hyperlink>
    </w:p>
    <w:bookmarkEnd w:id="130"/>
    <w:bookmarkStart w:id="132" w:name="ref-Hart2016"/>
    <w:p>
      <w:pPr>
        <w:pStyle w:val="Bibliography"/>
      </w:pPr>
      <w:r>
        <w:t xml:space="preserve">Hart, C. S. (2016). How</w:t>
      </w:r>
      <w:r>
        <w:t xml:space="preserve"> </w:t>
      </w:r>
      <w:r>
        <w:t xml:space="preserve">Do Aspirations Matter</w:t>
      </w:r>
      <w:r>
        <w:t xml:space="preserve">?</w:t>
      </w:r>
      <w:r>
        <w:t xml:space="preserve"> </w:t>
      </w:r>
      <w:r>
        <w:rPr>
          <w:i/>
          <w:iCs/>
        </w:rPr>
        <w:t xml:space="preserve">Journal of Human Development and Capabilities</w:t>
      </w:r>
      <w:r>
        <w:t xml:space="preserve">,</w:t>
      </w:r>
      <w:r>
        <w:t xml:space="preserve"> </w:t>
      </w:r>
      <w:r>
        <w:rPr>
          <w:i/>
          <w:iCs/>
        </w:rPr>
        <w:t xml:space="preserve">17</w:t>
      </w:r>
      <w:r>
        <w:t xml:space="preserve">(3), 324–341.</w:t>
      </w:r>
      <w:r>
        <w:t xml:space="preserve"> </w:t>
      </w:r>
      <w:hyperlink r:id="rId131">
        <w:r>
          <w:rPr>
            <w:rStyle w:val="Hyperlink"/>
          </w:rPr>
          <w:t xml:space="preserve">https://doi.org/10.1080/19452829.2016.1199540</w:t>
        </w:r>
      </w:hyperlink>
    </w:p>
    <w:bookmarkEnd w:id="132"/>
    <w:bookmarkStart w:id="134"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33">
        <w:r>
          <w:rPr>
            <w:rStyle w:val="Hyperlink"/>
          </w:rPr>
          <w:t xml:space="preserve">https://doi.org/10.1007/s10964-022-01648-8</w:t>
        </w:r>
      </w:hyperlink>
    </w:p>
    <w:bookmarkEnd w:id="134"/>
    <w:bookmarkStart w:id="136" w:name="ref-Henseke2025"/>
    <w:p>
      <w:pPr>
        <w:pStyle w:val="Bibliography"/>
      </w:pPr>
      <w:r>
        <w:t xml:space="preserve">Henseke, G., &amp; Schoon, I. (2025). Revisiting the</w:t>
      </w:r>
      <w:r>
        <w:t xml:space="preserve"> </w:t>
      </w:r>
      <w:r>
        <w:t xml:space="preserve">Mental Health Impact</w:t>
      </w:r>
      <w:r>
        <w:t xml:space="preserve"> </w:t>
      </w:r>
      <w:r>
        <w:t xml:space="preserve">of</w:t>
      </w:r>
      <w:r>
        <w:t xml:space="preserve"> </w:t>
      </w:r>
      <w:r>
        <w:t xml:space="preserve">COVID-19</w:t>
      </w:r>
      <w:r>
        <w:t xml:space="preserve"> </w:t>
      </w:r>
      <w:r>
        <w:t xml:space="preserve">on</w:t>
      </w:r>
      <w:r>
        <w:t xml:space="preserve"> </w:t>
      </w:r>
      <w:r>
        <w:t xml:space="preserve">Young Adults</w:t>
      </w:r>
      <w:r>
        <w:t xml:space="preserve">:</w:t>
      </w:r>
      <w:r>
        <w:t xml:space="preserve"> </w:t>
      </w:r>
      <w:r>
        <w:t xml:space="preserve">Long-Term Trends</w:t>
      </w:r>
      <w:r>
        <w:t xml:space="preserve">,</w:t>
      </w:r>
      <w:r>
        <w:t xml:space="preserve"> </w:t>
      </w:r>
      <w:r>
        <w:t xml:space="preserve">Temporary Setbacks</w:t>
      </w:r>
      <w:r>
        <w:t xml:space="preserve">, and</w:t>
      </w:r>
      <w:r>
        <w:t xml:space="preserve"> </w:t>
      </w:r>
      <w:r>
        <w:t xml:space="preserve">Recovery</w:t>
      </w:r>
      <w:r>
        <w:t xml:space="preserve">.</w:t>
      </w:r>
      <w:r>
        <w:t xml:space="preserve"> </w:t>
      </w:r>
      <w:r>
        <w:rPr>
          <w:i/>
          <w:iCs/>
        </w:rPr>
        <w:t xml:space="preserve">Social Indicators Research</w:t>
      </w:r>
      <w:r>
        <w:t xml:space="preserve">.</w:t>
      </w:r>
      <w:r>
        <w:t xml:space="preserve"> </w:t>
      </w:r>
      <w:hyperlink r:id="rId135">
        <w:r>
          <w:rPr>
            <w:rStyle w:val="Hyperlink"/>
          </w:rPr>
          <w:t xml:space="preserve">https://doi.org/10.1007/s11205-025-03616-8</w:t>
        </w:r>
      </w:hyperlink>
    </w:p>
    <w:bookmarkEnd w:id="136"/>
    <w:bookmarkStart w:id="138" w:name="ref-Hombrados-Mendieta2019"/>
    <w:p>
      <w:pPr>
        <w:pStyle w:val="Bibliography"/>
      </w:pPr>
      <w:r>
        <w:t xml:space="preserve">Hombrados-Mendieta, I., Millán-Franco, M., Gómez-Jacinto, L., Gonzalez-Castro, F., Martos-Méndez, M. J., &amp; García-Cid, A. (2019). Positive</w:t>
      </w:r>
      <w:r>
        <w:t xml:space="preserve"> </w:t>
      </w:r>
      <w:r>
        <w:t xml:space="preserve">Influences</w:t>
      </w:r>
      <w:r>
        <w:t xml:space="preserve"> </w:t>
      </w:r>
      <w:r>
        <w:t xml:space="preserve">of</w:t>
      </w:r>
      <w:r>
        <w:t xml:space="preserve"> </w:t>
      </w:r>
      <w:r>
        <w:t xml:space="preserve">Social Support</w:t>
      </w:r>
      <w:r>
        <w:t xml:space="preserve"> </w:t>
      </w:r>
      <w:r>
        <w:t xml:space="preserve">on</w:t>
      </w:r>
      <w:r>
        <w:t xml:space="preserve"> </w:t>
      </w:r>
      <w:r>
        <w:t xml:space="preserve">Sense</w:t>
      </w:r>
      <w:r>
        <w:t xml:space="preserve"> </w:t>
      </w:r>
      <w:r>
        <w:t xml:space="preserve">of</w:t>
      </w:r>
      <w:r>
        <w:t xml:space="preserve"> </w:t>
      </w:r>
      <w:r>
        <w:t xml:space="preserve">Community</w:t>
      </w:r>
      <w:r>
        <w:t xml:space="preserve">,</w:t>
      </w:r>
      <w:r>
        <w:t xml:space="preserve"> </w:t>
      </w:r>
      <w:r>
        <w:t xml:space="preserve">Life Satisfaction</w:t>
      </w:r>
      <w:r>
        <w:t xml:space="preserve"> </w:t>
      </w:r>
      <w:r>
        <w:t xml:space="preserve">and the</w:t>
      </w:r>
      <w:r>
        <w:t xml:space="preserve"> </w:t>
      </w:r>
      <w:r>
        <w:t xml:space="preserve">Health</w:t>
      </w:r>
      <w:r>
        <w:t xml:space="preserve"> </w:t>
      </w:r>
      <w:r>
        <w:t xml:space="preserve">of</w:t>
      </w:r>
      <w:r>
        <w:t xml:space="preserve"> </w:t>
      </w:r>
      <w:r>
        <w:t xml:space="preserve">Immigrants</w:t>
      </w:r>
      <w:r>
        <w:t xml:space="preserve"> </w:t>
      </w:r>
      <w:r>
        <w:t xml:space="preserve">in</w:t>
      </w:r>
      <w:r>
        <w:t xml:space="preserve"> </w:t>
      </w:r>
      <w:r>
        <w:t xml:space="preserve">Spain</w:t>
      </w:r>
      <w:r>
        <w:t xml:space="preserve">.</w:t>
      </w:r>
      <w:r>
        <w:t xml:space="preserve"> </w:t>
      </w:r>
      <w:r>
        <w:rPr>
          <w:i/>
          <w:iCs/>
        </w:rPr>
        <w:t xml:space="preserve">Frontiers in Psychology</w:t>
      </w:r>
      <w:r>
        <w:t xml:space="preserve">,</w:t>
      </w:r>
      <w:r>
        <w:t xml:space="preserve"> </w:t>
      </w:r>
      <w:r>
        <w:rPr>
          <w:i/>
          <w:iCs/>
        </w:rPr>
        <w:t xml:space="preserve">10</w:t>
      </w:r>
      <w:r>
        <w:t xml:space="preserve">, 2555.</w:t>
      </w:r>
      <w:r>
        <w:t xml:space="preserve"> </w:t>
      </w:r>
      <w:hyperlink r:id="rId137">
        <w:r>
          <w:rPr>
            <w:rStyle w:val="Hyperlink"/>
          </w:rPr>
          <w:t xml:space="preserve">https://doi.org/10.3389/fpsyg.2019.02555</w:t>
        </w:r>
      </w:hyperlink>
    </w:p>
    <w:bookmarkEnd w:id="138"/>
    <w:bookmarkStart w:id="140" w:name="ref-Jakubowski2025"/>
    <w:p>
      <w:pPr>
        <w:pStyle w:val="Bibliography"/>
      </w:pPr>
      <w:r>
        <w:t xml:space="preserve">Jakubowski, M., Gajderowicz, T., &amp; Patrinos, H. (2025).</w:t>
      </w:r>
      <w:r>
        <w:t xml:space="preserve"> </w:t>
      </w:r>
      <w:r>
        <w:t xml:space="preserve">COVID-19</w:t>
      </w:r>
      <w:r>
        <w:t xml:space="preserve">,</w:t>
      </w:r>
      <w:r>
        <w:t xml:space="preserve"> </w:t>
      </w:r>
      <w:r>
        <w:t xml:space="preserve">School Closures</w:t>
      </w:r>
      <w:r>
        <w:t xml:space="preserve">, and</w:t>
      </w:r>
      <w:r>
        <w:t xml:space="preserve"> </w:t>
      </w:r>
      <w:r>
        <w:t xml:space="preserve">Student Learning Outcomes</w:t>
      </w:r>
      <w:r>
        <w:t xml:space="preserve">:</w:t>
      </w:r>
      <w:r>
        <w:t xml:space="preserve"> </w:t>
      </w:r>
      <w:r>
        <w:t xml:space="preserve">New Global Evidence</w:t>
      </w:r>
      <w:r>
        <w:t xml:space="preserve"> </w:t>
      </w:r>
      <w:r>
        <w:t xml:space="preserve">from</w:t>
      </w:r>
      <w:r>
        <w:t xml:space="preserve"> </w:t>
      </w:r>
      <w:r>
        <w:t xml:space="preserve">PISA</w:t>
      </w:r>
      <w:r>
        <w:t xml:space="preserve">.</w:t>
      </w:r>
      <w:r>
        <w:t xml:space="preserve"> </w:t>
      </w:r>
      <w:r>
        <w:rPr>
          <w:i/>
          <w:iCs/>
        </w:rPr>
        <w:t xml:space="preserve">Npj</w:t>
      </w:r>
      <w:r>
        <w:rPr>
          <w:i/>
          <w:iCs/>
        </w:rPr>
        <w:t xml:space="preserve"> </w:t>
      </w:r>
      <w:r>
        <w:rPr>
          <w:i/>
          <w:iCs/>
        </w:rPr>
        <w:t xml:space="preserve">Science of Learning</w:t>
      </w:r>
      <w:r>
        <w:t xml:space="preserve">,</w:t>
      </w:r>
      <w:r>
        <w:t xml:space="preserve"> </w:t>
      </w:r>
      <w:r>
        <w:rPr>
          <w:i/>
          <w:iCs/>
        </w:rPr>
        <w:t xml:space="preserve">10</w:t>
      </w:r>
      <w:r>
        <w:t xml:space="preserve">(5).</w:t>
      </w:r>
      <w:r>
        <w:t xml:space="preserve"> </w:t>
      </w:r>
      <w:hyperlink r:id="rId139">
        <w:r>
          <w:rPr>
            <w:rStyle w:val="Hyperlink"/>
          </w:rPr>
          <w:t xml:space="preserve">https://doi.org/10.1038/s41539-025-00297-3</w:t>
        </w:r>
      </w:hyperlink>
    </w:p>
    <w:bookmarkEnd w:id="140"/>
    <w:bookmarkStart w:id="142"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41">
        <w:r>
          <w:rPr>
            <w:rStyle w:val="Hyperlink"/>
          </w:rPr>
          <w:t xml:space="preserve">https://doi.org/10.1007/s11136-016-1331-5</w:t>
        </w:r>
      </w:hyperlink>
    </w:p>
    <w:bookmarkEnd w:id="142"/>
    <w:bookmarkStart w:id="144" w:name="ref-Juvonen2022"/>
    <w:p>
      <w:pPr>
        <w:pStyle w:val="Bibliography"/>
      </w:pPr>
      <w:r>
        <w:t xml:space="preserve">Juvonen, J., Lessard, L. M., Kline, N. G., &amp; Graham, S. (2022). Young</w:t>
      </w:r>
      <w:r>
        <w:t xml:space="preserve"> </w:t>
      </w:r>
      <w:r>
        <w:t xml:space="preserve">Adult Adaptability</w:t>
      </w:r>
      <w:r>
        <w:t xml:space="preserve"> </w:t>
      </w:r>
      <w:r>
        <w:t xml:space="preserve">to the</w:t>
      </w:r>
      <w:r>
        <w:t xml:space="preserve"> </w:t>
      </w:r>
      <w:r>
        <w:t xml:space="preserve">Social Challenges</w:t>
      </w:r>
      <w:r>
        <w:t xml:space="preserve"> </w:t>
      </w:r>
      <w:r>
        <w:t xml:space="preserve">of the</w:t>
      </w:r>
      <w:r>
        <w:t xml:space="preserve"> </w:t>
      </w:r>
      <w:r>
        <w:t xml:space="preserve">COVID-19 Pandemic</w:t>
      </w:r>
      <w:r>
        <w:t xml:space="preserve">:</w:t>
      </w:r>
      <w:r>
        <w:t xml:space="preserve"> </w:t>
      </w:r>
      <w:r>
        <w:t xml:space="preserve">The Protective Role</w:t>
      </w:r>
      <w:r>
        <w:t xml:space="preserve"> </w:t>
      </w:r>
      <w:r>
        <w:t xml:space="preserve">of</w:t>
      </w:r>
      <w:r>
        <w:t xml:space="preserve"> </w:t>
      </w:r>
      <w:r>
        <w:t xml:space="preserve">Friendships</w:t>
      </w:r>
      <w:r>
        <w:t xml:space="preserve">.</w:t>
      </w:r>
      <w:r>
        <w:t xml:space="preserve"> </w:t>
      </w:r>
      <w:r>
        <w:rPr>
          <w:i/>
          <w:iCs/>
        </w:rPr>
        <w:t xml:space="preserve">Journal of Youth and Adolescence</w:t>
      </w:r>
      <w:r>
        <w:t xml:space="preserve">,</w:t>
      </w:r>
      <w:r>
        <w:t xml:space="preserve"> </w:t>
      </w:r>
      <w:r>
        <w:rPr>
          <w:i/>
          <w:iCs/>
        </w:rPr>
        <w:t xml:space="preserve">51</w:t>
      </w:r>
      <w:r>
        <w:t xml:space="preserve">(3), 585–597.</w:t>
      </w:r>
      <w:r>
        <w:t xml:space="preserve"> </w:t>
      </w:r>
      <w:hyperlink r:id="rId143">
        <w:r>
          <w:rPr>
            <w:rStyle w:val="Hyperlink"/>
          </w:rPr>
          <w:t xml:space="preserve">https://doi.org/10.1007/s10964-022-01573-w</w:t>
        </w:r>
      </w:hyperlink>
    </w:p>
    <w:bookmarkEnd w:id="144"/>
    <w:bookmarkStart w:id="146"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45">
        <w:r>
          <w:rPr>
            <w:rStyle w:val="Hyperlink"/>
          </w:rPr>
          <w:t xml:space="preserve">https://doi.org/10.1007/s11150-024-09712-x</w:t>
        </w:r>
      </w:hyperlink>
    </w:p>
    <w:bookmarkEnd w:id="146"/>
    <w:bookmarkStart w:id="148"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47">
        <w:r>
          <w:rPr>
            <w:rStyle w:val="Hyperlink"/>
          </w:rPr>
          <w:t xml:space="preserve">https://doi.org/10.1007/s00787-022-02060-0</w:t>
        </w:r>
      </w:hyperlink>
    </w:p>
    <w:bookmarkEnd w:id="148"/>
    <w:bookmarkStart w:id="150" w:name="ref-Kearns2015"/>
    <w:p>
      <w:pPr>
        <w:pStyle w:val="Bibliography"/>
      </w:pPr>
      <w:r>
        <w:t xml:space="preserve">Kearns, A., Whitley, E., Tannahill, C., &amp; Ellaway, A. (2015). Loneliness, social relations and health and well-being in deprived communities.</w:t>
      </w:r>
      <w:r>
        <w:t xml:space="preserve"> </w:t>
      </w:r>
      <w:r>
        <w:rPr>
          <w:i/>
          <w:iCs/>
        </w:rPr>
        <w:t xml:space="preserve">Psychology, Health &amp; Medicine</w:t>
      </w:r>
      <w:r>
        <w:t xml:space="preserve">,</w:t>
      </w:r>
      <w:r>
        <w:t xml:space="preserve"> </w:t>
      </w:r>
      <w:r>
        <w:rPr>
          <w:i/>
          <w:iCs/>
        </w:rPr>
        <w:t xml:space="preserve">20</w:t>
      </w:r>
      <w:r>
        <w:t xml:space="preserve">(3), 332–344.</w:t>
      </w:r>
      <w:r>
        <w:t xml:space="preserve"> </w:t>
      </w:r>
      <w:hyperlink r:id="rId149">
        <w:r>
          <w:rPr>
            <w:rStyle w:val="Hyperlink"/>
          </w:rPr>
          <w:t xml:space="preserve">https://doi.org/10.1080/13548506.2014.940354</w:t>
        </w:r>
      </w:hyperlink>
    </w:p>
    <w:bookmarkEnd w:id="150"/>
    <w:bookmarkStart w:id="152"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51">
        <w:r>
          <w:rPr>
            <w:rStyle w:val="Hyperlink"/>
          </w:rPr>
          <w:t xml:space="preserve">https://doi.org/10.1016/j.socscimed.2023.115692</w:t>
        </w:r>
      </w:hyperlink>
    </w:p>
    <w:bookmarkEnd w:id="152"/>
    <w:bookmarkStart w:id="154" w:name="ref-Lee2016"/>
    <w:p>
      <w:pPr>
        <w:pStyle w:val="Bibliography"/>
      </w:pPr>
      <w:r>
        <w:t xml:space="preserve">Lee, C.-Y. S., &amp; Goldstein, S. E. (2016). Loneliness,</w:t>
      </w:r>
      <w:r>
        <w:t xml:space="preserve"> </w:t>
      </w:r>
      <w:r>
        <w:t xml:space="preserve">Stress</w:t>
      </w:r>
      <w:r>
        <w:t xml:space="preserve">, and</w:t>
      </w:r>
      <w:r>
        <w:t xml:space="preserve"> </w:t>
      </w:r>
      <w:r>
        <w:t xml:space="preserve">Social Support</w:t>
      </w:r>
      <w:r>
        <w:t xml:space="preserve"> </w:t>
      </w:r>
      <w:r>
        <w:t xml:space="preserve">in</w:t>
      </w:r>
      <w:r>
        <w:t xml:space="preserve"> </w:t>
      </w:r>
      <w:r>
        <w:t xml:space="preserve">Young Adulthood</w:t>
      </w:r>
      <w:r>
        <w:t xml:space="preserve">:</w:t>
      </w:r>
      <w:r>
        <w:t xml:space="preserve"> </w:t>
      </w:r>
      <w:r>
        <w:t xml:space="preserve">Does</w:t>
      </w:r>
      <w:r>
        <w:t xml:space="preserve"> </w:t>
      </w:r>
      <w:r>
        <w:t xml:space="preserve">the</w:t>
      </w:r>
      <w:r>
        <w:t xml:space="preserve"> </w:t>
      </w:r>
      <w:r>
        <w:t xml:space="preserve">Source</w:t>
      </w:r>
      <w:r>
        <w:t xml:space="preserve"> </w:t>
      </w:r>
      <w:r>
        <w:t xml:space="preserve">of</w:t>
      </w:r>
      <w:r>
        <w:t xml:space="preserve"> </w:t>
      </w:r>
      <w:r>
        <w:t xml:space="preserve">Support Matter</w:t>
      </w:r>
      <w:r>
        <w:t xml:space="preserve">?</w:t>
      </w:r>
      <w:r>
        <w:t xml:space="preserve"> </w:t>
      </w:r>
      <w:r>
        <w:rPr>
          <w:i/>
          <w:iCs/>
        </w:rPr>
        <w:t xml:space="preserve">Journal of Youth and Adolescence</w:t>
      </w:r>
      <w:r>
        <w:t xml:space="preserve">,</w:t>
      </w:r>
      <w:r>
        <w:t xml:space="preserve"> </w:t>
      </w:r>
      <w:r>
        <w:rPr>
          <w:i/>
          <w:iCs/>
        </w:rPr>
        <w:t xml:space="preserve">45</w:t>
      </w:r>
      <w:r>
        <w:t xml:space="preserve">(3), 568–580.</w:t>
      </w:r>
      <w:r>
        <w:t xml:space="preserve"> </w:t>
      </w:r>
      <w:hyperlink r:id="rId153">
        <w:r>
          <w:rPr>
            <w:rStyle w:val="Hyperlink"/>
          </w:rPr>
          <w:t xml:space="preserve">https://doi.org/10.1007/s10964-015-0395-9</w:t>
        </w:r>
      </w:hyperlink>
    </w:p>
    <w:bookmarkEnd w:id="154"/>
    <w:bookmarkStart w:id="156"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55">
        <w:r>
          <w:rPr>
            <w:rStyle w:val="Hyperlink"/>
          </w:rPr>
          <w:t xml:space="preserve">https://doi.org/10.1007/s11205-013-0507-4</w:t>
        </w:r>
      </w:hyperlink>
    </w:p>
    <w:bookmarkEnd w:id="156"/>
    <w:bookmarkStart w:id="158" w:name="ref-Li2021"/>
    <w:p>
      <w:pPr>
        <w:pStyle w:val="Bibliography"/>
      </w:pPr>
      <w:r>
        <w:t xml:space="preserve">Li, F., Luo, S., Mu, W., Li, Y., Ye, L., Zheng, X., Xu, B., Ding, Y., Ling, P., Zhou, M., &amp; Chen, X. (2021). Effects of sources of social support and resilience on the mental health of different age groups during the</w:t>
      </w:r>
      <w:r>
        <w:t xml:space="preserve"> </w:t>
      </w:r>
      <w:r>
        <w:t xml:space="preserve">COVID-19</w:t>
      </w:r>
      <w:r>
        <w:t xml:space="preserve"> </w:t>
      </w:r>
      <w:r>
        <w:t xml:space="preserve">pandemic.</w:t>
      </w:r>
      <w:r>
        <w:t xml:space="preserve"> </w:t>
      </w:r>
      <w:r>
        <w:rPr>
          <w:i/>
          <w:iCs/>
        </w:rPr>
        <w:t xml:space="preserve">BMC Psychiatry</w:t>
      </w:r>
      <w:r>
        <w:t xml:space="preserve">,</w:t>
      </w:r>
      <w:r>
        <w:t xml:space="preserve"> </w:t>
      </w:r>
      <w:r>
        <w:rPr>
          <w:i/>
          <w:iCs/>
        </w:rPr>
        <w:t xml:space="preserve">21</w:t>
      </w:r>
      <w:r>
        <w:t xml:space="preserve">(1), 16.</w:t>
      </w:r>
      <w:r>
        <w:t xml:space="preserve"> </w:t>
      </w:r>
      <w:hyperlink r:id="rId157">
        <w:r>
          <w:rPr>
            <w:rStyle w:val="Hyperlink"/>
          </w:rPr>
          <w:t xml:space="preserve">https://doi.org/10.1186/s12888-020-03012-1</w:t>
        </w:r>
      </w:hyperlink>
    </w:p>
    <w:bookmarkEnd w:id="158"/>
    <w:bookmarkStart w:id="160"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59">
        <w:r>
          <w:rPr>
            <w:rStyle w:val="Hyperlink"/>
          </w:rPr>
          <w:t xml:space="preserve">https://doi.org/10.1186/s12889-018-5235-x</w:t>
        </w:r>
      </w:hyperlink>
    </w:p>
    <w:bookmarkEnd w:id="160"/>
    <w:bookmarkStart w:id="162" w:name="ref-Long2022"/>
    <w:p>
      <w:pPr>
        <w:pStyle w:val="Bibliography"/>
      </w:pPr>
      <w:r>
        <w:t xml:space="preserve">Long, E., Patterson, S., Maxwell, K., Blake, C., Pérez, R. B., Lewis, R., McCann, M., Riddell, J., Skivington, K., Wilson-Lowe, R., &amp; Mitchell, K. R. (2022).</w:t>
      </w:r>
      <w:r>
        <w:t xml:space="preserve"> </w:t>
      </w:r>
      <w:r>
        <w:t xml:space="preserve">COVID-19</w:t>
      </w:r>
      <w:r>
        <w:t xml:space="preserve"> </w:t>
      </w:r>
      <w:r>
        <w:t xml:space="preserve">pandemic and its impact on social relationships and health.</w:t>
      </w:r>
      <w:r>
        <w:t xml:space="preserve"> </w:t>
      </w:r>
      <w:r>
        <w:rPr>
          <w:i/>
          <w:iCs/>
        </w:rPr>
        <w:t xml:space="preserve">Journal of Epidemiology and Community Health</w:t>
      </w:r>
      <w:r>
        <w:t xml:space="preserve">,</w:t>
      </w:r>
      <w:r>
        <w:t xml:space="preserve"> </w:t>
      </w:r>
      <w:r>
        <w:rPr>
          <w:i/>
          <w:iCs/>
        </w:rPr>
        <w:t xml:space="preserve">76</w:t>
      </w:r>
      <w:r>
        <w:t xml:space="preserve">(2), 128–132.</w:t>
      </w:r>
      <w:r>
        <w:t xml:space="preserve"> </w:t>
      </w:r>
      <w:hyperlink r:id="rId161">
        <w:r>
          <w:rPr>
            <w:rStyle w:val="Hyperlink"/>
          </w:rPr>
          <w:t xml:space="preserve">https://doi.org/10.1136/jech-2021-216690</w:t>
        </w:r>
      </w:hyperlink>
    </w:p>
    <w:bookmarkEnd w:id="162"/>
    <w:bookmarkStart w:id="164"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63">
        <w:r>
          <w:rPr>
            <w:rStyle w:val="Hyperlink"/>
          </w:rPr>
          <w:t xml:space="preserve">https://doi.org/10.32614/CRAN.package.mitools</w:t>
        </w:r>
      </w:hyperlink>
    </w:p>
    <w:bookmarkEnd w:id="164"/>
    <w:bookmarkStart w:id="166"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65">
        <w:r>
          <w:rPr>
            <w:rStyle w:val="Hyperlink"/>
          </w:rPr>
          <w:t xml:space="preserve">http://r-survey.r-forge.r-project.org/survey/</w:t>
        </w:r>
      </w:hyperlink>
    </w:p>
    <w:bookmarkEnd w:id="166"/>
    <w:bookmarkStart w:id="168" w:name="ref-Lyubomirsky2005"/>
    <w:p>
      <w:pPr>
        <w:pStyle w:val="Bibliography"/>
      </w:pPr>
      <w:r>
        <w:t xml:space="preserve">Lyubomirsky, S., Sheldon, K. M., &amp; Schkade, D. (2005). Pursuing</w:t>
      </w:r>
      <w:r>
        <w:t xml:space="preserve"> </w:t>
      </w:r>
      <w:r>
        <w:t xml:space="preserve">Happiness</w:t>
      </w:r>
      <w:r>
        <w:t xml:space="preserve">:</w:t>
      </w:r>
      <w:r>
        <w:t xml:space="preserve"> </w:t>
      </w:r>
      <w:r>
        <w:t xml:space="preserve">The Architecture</w:t>
      </w:r>
      <w:r>
        <w:t xml:space="preserve"> </w:t>
      </w:r>
      <w:r>
        <w:t xml:space="preserve">of</w:t>
      </w:r>
      <w:r>
        <w:t xml:space="preserve"> </w:t>
      </w:r>
      <w:r>
        <w:t xml:space="preserve">Sustainable Change</w:t>
      </w:r>
      <w:r>
        <w:t xml:space="preserve">.</w:t>
      </w:r>
      <w:r>
        <w:t xml:space="preserve"> </w:t>
      </w:r>
      <w:r>
        <w:rPr>
          <w:i/>
          <w:iCs/>
        </w:rPr>
        <w:t xml:space="preserve">Review of General Psychology</w:t>
      </w:r>
      <w:r>
        <w:t xml:space="preserve">,</w:t>
      </w:r>
      <w:r>
        <w:t xml:space="preserve"> </w:t>
      </w:r>
      <w:r>
        <w:rPr>
          <w:i/>
          <w:iCs/>
        </w:rPr>
        <w:t xml:space="preserve">9</w:t>
      </w:r>
      <w:r>
        <w:t xml:space="preserve">(2), 111–131.</w:t>
      </w:r>
      <w:r>
        <w:t xml:space="preserve"> </w:t>
      </w:r>
      <w:hyperlink r:id="rId167">
        <w:r>
          <w:rPr>
            <w:rStyle w:val="Hyperlink"/>
          </w:rPr>
          <w:t xml:space="preserve">https://doi.org/10.1037/1089-2680.9.2.111</w:t>
        </w:r>
      </w:hyperlink>
    </w:p>
    <w:bookmarkEnd w:id="168"/>
    <w:bookmarkStart w:id="170" w:name="ref-Magson2021"/>
    <w:p>
      <w:pPr>
        <w:pStyle w:val="Bibliography"/>
      </w:pPr>
      <w:r>
        <w:t xml:space="preserve">Magson, N. R., Freeman, J. Y. A., Rapee, R. M., Richardson, C. E., Oar, E. L., &amp; Fardouly, J. (2021). Risk and</w:t>
      </w:r>
      <w:r>
        <w:t xml:space="preserve"> </w:t>
      </w:r>
      <w:r>
        <w:t xml:space="preserve">Protective Factors</w:t>
      </w:r>
      <w:r>
        <w:t xml:space="preserve"> </w:t>
      </w:r>
      <w:r>
        <w:t xml:space="preserve">for</w:t>
      </w:r>
      <w:r>
        <w:t xml:space="preserve"> </w:t>
      </w:r>
      <w:r>
        <w:t xml:space="preserve">Prospective Changes</w:t>
      </w:r>
      <w:r>
        <w:t xml:space="preserve"> </w:t>
      </w:r>
      <w:r>
        <w:t xml:space="preserve">in</w:t>
      </w:r>
      <w:r>
        <w:t xml:space="preserve"> </w:t>
      </w:r>
      <w:r>
        <w:t xml:space="preserve">Adolescent Mental Health</w:t>
      </w:r>
      <w:r>
        <w:t xml:space="preserve"> </w:t>
      </w:r>
      <w:r>
        <w:t xml:space="preserve">during the</w:t>
      </w:r>
      <w:r>
        <w:t xml:space="preserve"> </w:t>
      </w:r>
      <w:r>
        <w:t xml:space="preserve">COVID-19 Pandemic</w:t>
      </w:r>
      <w:r>
        <w:t xml:space="preserve">.</w:t>
      </w:r>
      <w:r>
        <w:t xml:space="preserve"> </w:t>
      </w:r>
      <w:r>
        <w:rPr>
          <w:i/>
          <w:iCs/>
        </w:rPr>
        <w:t xml:space="preserve">Journal of Youth and Adolescence</w:t>
      </w:r>
      <w:r>
        <w:t xml:space="preserve">,</w:t>
      </w:r>
      <w:r>
        <w:t xml:space="preserve"> </w:t>
      </w:r>
      <w:r>
        <w:rPr>
          <w:i/>
          <w:iCs/>
        </w:rPr>
        <w:t xml:space="preserve">50</w:t>
      </w:r>
      <w:r>
        <w:t xml:space="preserve">(1), 44–57.</w:t>
      </w:r>
      <w:r>
        <w:t xml:space="preserve"> </w:t>
      </w:r>
      <w:hyperlink r:id="rId169">
        <w:r>
          <w:rPr>
            <w:rStyle w:val="Hyperlink"/>
          </w:rPr>
          <w:t xml:space="preserve">https://doi.org/10.1007/s10964-020-01332-9</w:t>
        </w:r>
      </w:hyperlink>
    </w:p>
    <w:bookmarkEnd w:id="170"/>
    <w:bookmarkStart w:id="172" w:name="ref-Mansfield2022"/>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71">
        <w:r>
          <w:rPr>
            <w:rStyle w:val="Hyperlink"/>
          </w:rPr>
          <w:t xml:space="preserve">https://doi.org/10.1098/rsos.211114</w:t>
        </w:r>
      </w:hyperlink>
    </w:p>
    <w:bookmarkEnd w:id="172"/>
    <w:bookmarkStart w:id="174" w:name="ref-McKnight2002"/>
    <w:p>
      <w:pPr>
        <w:pStyle w:val="Bibliography"/>
      </w:pPr>
      <w:r>
        <w:t xml:space="preserve">McKnight, C. G., Huebner, E. S., &amp; Suldo, S. (2002). Relationships among stressful life events, temperament, problem behavior, and global life satisfaction in adolescents.</w:t>
      </w:r>
      <w:r>
        <w:t xml:space="preserve"> </w:t>
      </w:r>
      <w:r>
        <w:rPr>
          <w:i/>
          <w:iCs/>
        </w:rPr>
        <w:t xml:space="preserve">Psychology in the Schools</w:t>
      </w:r>
      <w:r>
        <w:t xml:space="preserve">,</w:t>
      </w:r>
      <w:r>
        <w:t xml:space="preserve"> </w:t>
      </w:r>
      <w:r>
        <w:rPr>
          <w:i/>
          <w:iCs/>
        </w:rPr>
        <w:t xml:space="preserve">39</w:t>
      </w:r>
      <w:r>
        <w:t xml:space="preserve">(6), 677–687.</w:t>
      </w:r>
      <w:r>
        <w:t xml:space="preserve"> </w:t>
      </w:r>
      <w:hyperlink r:id="rId173">
        <w:r>
          <w:rPr>
            <w:rStyle w:val="Hyperlink"/>
          </w:rPr>
          <w:t xml:space="preserve">https://doi.org/10.1002/pits.10062</w:t>
        </w:r>
      </w:hyperlink>
    </w:p>
    <w:bookmarkEnd w:id="174"/>
    <w:bookmarkStart w:id="176" w:name="ref-McMahon2023"/>
    <w:p>
      <w:pPr>
        <w:pStyle w:val="Bibliography"/>
      </w:pPr>
      <w:r>
        <w:t xml:space="preserve">McMahon, T. P., Villaume, S. C., &amp; Adam, E. K. (2023). Daily experiences and adolescent affective wellbeing during the</w:t>
      </w:r>
      <w:r>
        <w:t xml:space="preserve"> </w:t>
      </w:r>
      <w:r>
        <w:t xml:space="preserve">COVID-19</w:t>
      </w:r>
      <w:r>
        <w:t xml:space="preserve"> </w:t>
      </w:r>
      <w:r>
        <w:t xml:space="preserve">pandemic:</w:t>
      </w:r>
      <w:r>
        <w:t xml:space="preserve"> </w:t>
      </w:r>
      <w:r>
        <w:t xml:space="preserve">The CHESS</w:t>
      </w:r>
      <w:r>
        <w:t xml:space="preserve"> </w:t>
      </w:r>
      <w:r>
        <w:t xml:space="preserve">model.</w:t>
      </w:r>
      <w:r>
        <w:t xml:space="preserve"> </w:t>
      </w:r>
      <w:r>
        <w:rPr>
          <w:i/>
          <w:iCs/>
        </w:rPr>
        <w:t xml:space="preserve">Current Opinion in Psychology</w:t>
      </w:r>
      <w:r>
        <w:t xml:space="preserve">,</w:t>
      </w:r>
      <w:r>
        <w:t xml:space="preserve"> </w:t>
      </w:r>
      <w:r>
        <w:rPr>
          <w:i/>
          <w:iCs/>
        </w:rPr>
        <w:t xml:space="preserve">53</w:t>
      </w:r>
      <w:r>
        <w:t xml:space="preserve">, 101654.</w:t>
      </w:r>
      <w:r>
        <w:t xml:space="preserve"> </w:t>
      </w:r>
      <w:hyperlink r:id="rId175">
        <w:r>
          <w:rPr>
            <w:rStyle w:val="Hyperlink"/>
          </w:rPr>
          <w:t xml:space="preserve">https://doi.org/10.1016/j.copsyc.2023.101654</w:t>
        </w:r>
      </w:hyperlink>
    </w:p>
    <w:bookmarkEnd w:id="176"/>
    <w:bookmarkStart w:id="178" w:name="ref-Morgan1998"/>
    <w:p>
      <w:pPr>
        <w:pStyle w:val="Bibliography"/>
      </w:pPr>
      <w:r>
        <w:t xml:space="preserve">Morgan, S. L. (1998). Adolescent</w:t>
      </w:r>
      <w:r>
        <w:t xml:space="preserve"> </w:t>
      </w:r>
      <w:r>
        <w:t xml:space="preserve">Educational Expectations</w:t>
      </w:r>
      <w:r>
        <w:t xml:space="preserve">:</w:t>
      </w:r>
      <w:r>
        <w:t xml:space="preserve"> </w:t>
      </w:r>
      <w:r>
        <w:t xml:space="preserve">Rationalized</w:t>
      </w:r>
      <w:r>
        <w:t xml:space="preserve">,</w:t>
      </w:r>
      <w:r>
        <w:t xml:space="preserve"> </w:t>
      </w:r>
      <w:r>
        <w:t xml:space="preserve">Fantasized</w:t>
      </w:r>
      <w:r>
        <w:t xml:space="preserve">, or</w:t>
      </w:r>
      <w:r>
        <w:t xml:space="preserve"> </w:t>
      </w:r>
      <w:r>
        <w:t xml:space="preserve">Both</w:t>
      </w:r>
      <w:r>
        <w:t xml:space="preserve">?</w:t>
      </w:r>
      <w:r>
        <w:t xml:space="preserve"> </w:t>
      </w:r>
      <w:r>
        <w:rPr>
          <w:i/>
          <w:iCs/>
        </w:rPr>
        <w:t xml:space="preserve">Rationality and Society</w:t>
      </w:r>
      <w:r>
        <w:t xml:space="preserve">,</w:t>
      </w:r>
      <w:r>
        <w:t xml:space="preserve"> </w:t>
      </w:r>
      <w:r>
        <w:rPr>
          <w:i/>
          <w:iCs/>
        </w:rPr>
        <w:t xml:space="preserve">10</w:t>
      </w:r>
      <w:r>
        <w:t xml:space="preserve">(2), 131–162.</w:t>
      </w:r>
      <w:r>
        <w:t xml:space="preserve"> </w:t>
      </w:r>
      <w:hyperlink r:id="rId177">
        <w:r>
          <w:rPr>
            <w:rStyle w:val="Hyperlink"/>
          </w:rPr>
          <w:t xml:space="preserve">https://doi.org/10.1177/104346398010002001</w:t>
        </w:r>
      </w:hyperlink>
    </w:p>
    <w:bookmarkEnd w:id="178"/>
    <w:bookmarkStart w:id="180" w:name="ref-Neugebauer2024"/>
    <w:p>
      <w:pPr>
        <w:pStyle w:val="Bibliography"/>
      </w:pPr>
      <w:r>
        <w:t xml:space="preserve">Neugebauer, M., Patzina, A., Dietrich, H., &amp; Sandner, M. (2024). Two</w:t>
      </w:r>
      <w:r>
        <w:t xml:space="preserve"> </w:t>
      </w:r>
      <w:r>
        <w:t xml:space="preserve">Pandemic Years Greatly Reduced Young People</w:t>
      </w:r>
      <w:r>
        <w:t xml:space="preserve">’s</w:t>
      </w:r>
      <w:r>
        <w:t xml:space="preserve"> </w:t>
      </w:r>
      <w:r>
        <w:t xml:space="preserve">Life Satisfaction</w:t>
      </w:r>
      <w:r>
        <w:t xml:space="preserve">:</w:t>
      </w:r>
      <w:r>
        <w:t xml:space="preserve"> </w:t>
      </w:r>
      <w:r>
        <w:t xml:space="preserve">Evidence</w:t>
      </w:r>
      <w:r>
        <w:t xml:space="preserve"> </w:t>
      </w:r>
      <w:r>
        <w:t xml:space="preserve">from a</w:t>
      </w:r>
      <w:r>
        <w:t xml:space="preserve"> </w:t>
      </w:r>
      <w:r>
        <w:t xml:space="preserve">Comparison</w:t>
      </w:r>
      <w:r>
        <w:t xml:space="preserve"> </w:t>
      </w:r>
      <w:r>
        <w:t xml:space="preserve">with</w:t>
      </w:r>
      <w:r>
        <w:t xml:space="preserve"> </w:t>
      </w:r>
      <w:r>
        <w:t xml:space="preserve">Pre-COVID-19 Panel Data</w:t>
      </w:r>
      <w:r>
        <w:t xml:space="preserve">.</w:t>
      </w:r>
      <w:r>
        <w:t xml:space="preserve"> </w:t>
      </w:r>
      <w:r>
        <w:rPr>
          <w:i/>
          <w:iCs/>
        </w:rPr>
        <w:t xml:space="preserve">European Sociological Review</w:t>
      </w:r>
      <w:r>
        <w:t xml:space="preserve">,</w:t>
      </w:r>
      <w:r>
        <w:t xml:space="preserve"> </w:t>
      </w:r>
      <w:r>
        <w:rPr>
          <w:i/>
          <w:iCs/>
        </w:rPr>
        <w:t xml:space="preserve">40</w:t>
      </w:r>
      <w:r>
        <w:t xml:space="preserve">(5), 872–886.</w:t>
      </w:r>
      <w:r>
        <w:t xml:space="preserve"> </w:t>
      </w:r>
      <w:hyperlink r:id="rId179">
        <w:r>
          <w:rPr>
            <w:rStyle w:val="Hyperlink"/>
          </w:rPr>
          <w:t xml:space="preserve">https://doi.org/10.1093/esr/jcad077</w:t>
        </w:r>
      </w:hyperlink>
    </w:p>
    <w:bookmarkEnd w:id="180"/>
    <w:bookmarkStart w:id="182"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1">
        <w:r>
          <w:rPr>
            <w:rStyle w:val="Hyperlink"/>
          </w:rPr>
          <w:t xml:space="preserve">https://doi.org/10.1016/S2215-0366(20)30570-8</w:t>
        </w:r>
      </w:hyperlink>
    </w:p>
    <w:bookmarkEnd w:id="182"/>
    <w:bookmarkStart w:id="184" w:name="ref-OfficeforNationalStatistics2018"/>
    <w:p>
      <w:pPr>
        <w:pStyle w:val="Bibliography"/>
      </w:pPr>
      <w:r>
        <w:t xml:space="preserve">Office for National Statistics. (2018).</w:t>
      </w:r>
      <w:r>
        <w:t xml:space="preserve"> </w:t>
      </w:r>
      <w:r>
        <w:rPr>
          <w:i/>
          <w:iCs/>
        </w:rPr>
        <w:t xml:space="preserve">Personal well-being user guidance</w:t>
      </w:r>
      <w:r>
        <w:t xml:space="preserve"> </w:t>
      </w:r>
      <w:r>
        <w:t xml:space="preserve">[Web page]. Office for National Statistics.</w:t>
      </w:r>
      <w:r>
        <w:t xml:space="preserve"> </w:t>
      </w:r>
      <w:hyperlink r:id="rId183">
        <w:r>
          <w:rPr>
            <w:rStyle w:val="Hyperlink"/>
          </w:rPr>
          <w:t xml:space="preserve">https://www.ons.gov.uk/peoplepopulationandcommunity/wellbeing/methodologies/personalwellbeingsurveyuserguide</w:t>
        </w:r>
      </w:hyperlink>
    </w:p>
    <w:bookmarkEnd w:id="184"/>
    <w:bookmarkStart w:id="186"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r>
        <w:t xml:space="preserve"> </w:t>
      </w:r>
      <w:hyperlink r:id="rId185">
        <w:r>
          <w:rPr>
            <w:rStyle w:val="Hyperlink"/>
          </w:rPr>
          <w:t xml:space="preserve">https://www.ons.gov.uk/peoplepopulationandcommunity/wellbeing/bulletins/measuringnationalwellbeing/latest#personal-well-being-in-the-uk</w:t>
        </w:r>
      </w:hyperlink>
    </w:p>
    <w:bookmarkEnd w:id="186"/>
    <w:bookmarkStart w:id="188" w:name="ref-Ormel1999"/>
    <w:p>
      <w:pPr>
        <w:pStyle w:val="Bibliography"/>
      </w:pPr>
      <w:r>
        <w:t xml:space="preserve">Ormel, J., Lindenberg, S., Steverink, N., &amp; Verbrugge, L. M. (1999). Subjective</w:t>
      </w:r>
      <w:r>
        <w:t xml:space="preserve"> </w:t>
      </w:r>
      <w:r>
        <w:t xml:space="preserve">Well-Being</w:t>
      </w:r>
      <w:r>
        <w:t xml:space="preserve"> </w:t>
      </w:r>
      <w:r>
        <w:t xml:space="preserve">and</w:t>
      </w:r>
      <w:r>
        <w:t xml:space="preserve"> </w:t>
      </w:r>
      <w:r>
        <w:t xml:space="preserve">Social Production Functions</w:t>
      </w:r>
      <w:r>
        <w:t xml:space="preserve">.</w:t>
      </w:r>
      <w:r>
        <w:t xml:space="preserve"> </w:t>
      </w:r>
      <w:r>
        <w:rPr>
          <w:i/>
          <w:iCs/>
        </w:rPr>
        <w:t xml:space="preserve">Social Indicators Research</w:t>
      </w:r>
      <w:r>
        <w:t xml:space="preserve">,</w:t>
      </w:r>
      <w:r>
        <w:t xml:space="preserve"> </w:t>
      </w:r>
      <w:r>
        <w:rPr>
          <w:i/>
          <w:iCs/>
        </w:rPr>
        <w:t xml:space="preserve">46</w:t>
      </w:r>
      <w:r>
        <w:t xml:space="preserve">(1), 61–90.</w:t>
      </w:r>
      <w:r>
        <w:t xml:space="preserve"> </w:t>
      </w:r>
      <w:hyperlink r:id="rId187">
        <w:r>
          <w:rPr>
            <w:rStyle w:val="Hyperlink"/>
          </w:rPr>
          <w:t xml:space="preserve">https://doi.org/10.1023/A:1006907811502</w:t>
        </w:r>
      </w:hyperlink>
    </w:p>
    <w:bookmarkEnd w:id="188"/>
    <w:bookmarkStart w:id="190"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89">
        <w:r>
          <w:rPr>
            <w:rStyle w:val="Hyperlink"/>
          </w:rPr>
          <w:t xml:space="preserve">https://doi.org/10.3390/ijerph19031132</w:t>
        </w:r>
      </w:hyperlink>
    </w:p>
    <w:bookmarkEnd w:id="190"/>
    <w:bookmarkStart w:id="192"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1">
        <w:r>
          <w:rPr>
            <w:rStyle w:val="Hyperlink"/>
          </w:rPr>
          <w:t xml:space="preserve">https://doi.org/10.1007/s10964-021-01550-9</w:t>
        </w:r>
      </w:hyperlink>
    </w:p>
    <w:bookmarkEnd w:id="192"/>
    <w:bookmarkStart w:id="194"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93">
        <w:r>
          <w:rPr>
            <w:rStyle w:val="Hyperlink"/>
          </w:rPr>
          <w:t xml:space="preserve">https://doi.org/10.1371/journal.pone.0244419</w:t>
        </w:r>
      </w:hyperlink>
    </w:p>
    <w:bookmarkEnd w:id="194"/>
    <w:bookmarkStart w:id="196"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195">
        <w:r>
          <w:rPr>
            <w:rStyle w:val="Hyperlink"/>
          </w:rPr>
          <w:t xml:space="preserve">https://doi.org/10.1515/bejeap-2021-0394</w:t>
        </w:r>
      </w:hyperlink>
    </w:p>
    <w:bookmarkEnd w:id="196"/>
    <w:bookmarkStart w:id="198"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r>
        <w:t xml:space="preserve"> </w:t>
      </w:r>
      <w:hyperlink r:id="rId197">
        <w:r>
          <w:rPr>
            <w:rStyle w:val="Hyperlink"/>
          </w:rPr>
          <w:t xml:space="preserve">https://dataverse.harvard.edu/citation?persistentId=doi:10.7910/DVN/K4OW35</w:t>
        </w:r>
      </w:hyperlink>
    </w:p>
    <w:bookmarkEnd w:id="198"/>
    <w:bookmarkStart w:id="200"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9">
        <w:r>
          <w:rPr>
            <w:rStyle w:val="Hyperlink"/>
          </w:rPr>
          <w:t xml:space="preserve">https://www.R-project.org/</w:t>
        </w:r>
      </w:hyperlink>
    </w:p>
    <w:bookmarkEnd w:id="200"/>
    <w:bookmarkStart w:id="202"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1">
        <w:r>
          <w:rPr>
            <w:rStyle w:val="Hyperlink"/>
          </w:rPr>
          <w:t xml:space="preserve">https://doi.org/10.1001/jamapediatrics.2021.2482</w:t>
        </w:r>
      </w:hyperlink>
    </w:p>
    <w:bookmarkEnd w:id="202"/>
    <w:bookmarkStart w:id="204"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03">
        <w:r>
          <w:rPr>
            <w:rStyle w:val="Hyperlink"/>
          </w:rPr>
          <w:t xml:space="preserve">https://doi.org/10.1007/s00787-021-01726-5</w:t>
        </w:r>
      </w:hyperlink>
    </w:p>
    <w:bookmarkEnd w:id="204"/>
    <w:bookmarkStart w:id="206" w:name="ref-R-psych"/>
    <w:p>
      <w:pPr>
        <w:pStyle w:val="Bibliography"/>
      </w:pPr>
      <w:r>
        <w:t xml:space="preserve">Revelle, W. (2025).</w:t>
      </w:r>
      <w:r>
        <w:t xml:space="preserve"> </w:t>
      </w:r>
      <w:r>
        <w:rPr>
          <w:i/>
          <w:iCs/>
        </w:rPr>
        <w:t xml:space="preserve">Psych: Procedures for psychological, psychometric, and personality research</w:t>
      </w:r>
      <w:r>
        <w:t xml:space="preserve">.</w:t>
      </w:r>
      <w:r>
        <w:t xml:space="preserve"> </w:t>
      </w:r>
      <w:hyperlink r:id="rId205">
        <w:r>
          <w:rPr>
            <w:rStyle w:val="Hyperlink"/>
          </w:rPr>
          <w:t xml:space="preserve">https://personality-project.org/r/psych/</w:t>
        </w:r>
      </w:hyperlink>
    </w:p>
    <w:bookmarkEnd w:id="206"/>
    <w:bookmarkStart w:id="208"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07">
        <w:r>
          <w:rPr>
            <w:rStyle w:val="Hyperlink"/>
          </w:rPr>
          <w:t xml:space="preserve">https://doi.org/10.1186/s12955-020-01423-y</w:t>
        </w:r>
      </w:hyperlink>
    </w:p>
    <w:bookmarkEnd w:id="208"/>
    <w:bookmarkStart w:id="210"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09">
        <w:r>
          <w:rPr>
            <w:rStyle w:val="Hyperlink"/>
          </w:rPr>
          <w:t xml:space="preserve">https://doi.org/10.1111/camh.12501</w:t>
        </w:r>
      </w:hyperlink>
    </w:p>
    <w:bookmarkEnd w:id="210"/>
    <w:bookmarkStart w:id="212" w:name="ref-Siedlecki2014"/>
    <w:p>
      <w:pPr>
        <w:pStyle w:val="Bibliography"/>
      </w:pPr>
      <w:r>
        <w:t xml:space="preserve">Siedlecki, K. L., Salthouse, T. A., Oishi, S., &amp; Jeswani, S. (2014). The</w:t>
      </w:r>
      <w:r>
        <w:t xml:space="preserve"> </w:t>
      </w:r>
      <w:r>
        <w:t xml:space="preserve">Relationship Between Social Support</w:t>
      </w:r>
      <w:r>
        <w:t xml:space="preserve"> </w:t>
      </w:r>
      <w:r>
        <w:t xml:space="preserve">and</w:t>
      </w:r>
      <w:r>
        <w:t xml:space="preserve"> </w:t>
      </w:r>
      <w:r>
        <w:t xml:space="preserve">Subjective Well-Being Across Age</w:t>
      </w:r>
      <w:r>
        <w:t xml:space="preserve">.</w:t>
      </w:r>
      <w:r>
        <w:t xml:space="preserve"> </w:t>
      </w:r>
      <w:r>
        <w:rPr>
          <w:i/>
          <w:iCs/>
        </w:rPr>
        <w:t xml:space="preserve">Social Indicators Research</w:t>
      </w:r>
      <w:r>
        <w:t xml:space="preserve">,</w:t>
      </w:r>
      <w:r>
        <w:t xml:space="preserve"> </w:t>
      </w:r>
      <w:r>
        <w:rPr>
          <w:i/>
          <w:iCs/>
        </w:rPr>
        <w:t xml:space="preserve">117</w:t>
      </w:r>
      <w:r>
        <w:t xml:space="preserve">(2), 561–576.</w:t>
      </w:r>
      <w:r>
        <w:t xml:space="preserve"> </w:t>
      </w:r>
      <w:hyperlink r:id="rId211">
        <w:r>
          <w:rPr>
            <w:rStyle w:val="Hyperlink"/>
          </w:rPr>
          <w:t xml:space="preserve">https://doi.org/10.1007/s11205-013-0361-4</w:t>
        </w:r>
      </w:hyperlink>
    </w:p>
    <w:bookmarkEnd w:id="212"/>
    <w:bookmarkStart w:id="214"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3">
        <w:r>
          <w:rPr>
            <w:rStyle w:val="Hyperlink"/>
          </w:rPr>
          <w:t xml:space="preserve">https://doi.org/10.1111/jcpp.13537</w:t>
        </w:r>
      </w:hyperlink>
    </w:p>
    <w:bookmarkEnd w:id="214"/>
    <w:bookmarkStart w:id="216" w:name="ref-Steverink2020"/>
    <w:p>
      <w:pPr>
        <w:pStyle w:val="Bibliography"/>
      </w:pPr>
      <w:r>
        <w:t xml:space="preserve">Steverink, N., Lindenberg, S., Spiegel, T., &amp; Nieboer, A. P. (2020). The</w:t>
      </w:r>
      <w:r>
        <w:t xml:space="preserve"> </w:t>
      </w:r>
      <w:r>
        <w:t xml:space="preserve">Associations</w:t>
      </w:r>
      <w:r>
        <w:t xml:space="preserve"> </w:t>
      </w:r>
      <w:r>
        <w:t xml:space="preserve">of</w:t>
      </w:r>
      <w:r>
        <w:t xml:space="preserve"> </w:t>
      </w:r>
      <w:r>
        <w:t xml:space="preserve">Different Social Needs</w:t>
      </w:r>
      <w:r>
        <w:t xml:space="preserve"> </w:t>
      </w:r>
      <w:r>
        <w:t xml:space="preserve">with</w:t>
      </w:r>
      <w:r>
        <w:t xml:space="preserve"> </w:t>
      </w:r>
      <w:r>
        <w:t xml:space="preserve">Psychological Strengths</w:t>
      </w:r>
      <w:r>
        <w:t xml:space="preserve"> </w:t>
      </w:r>
      <w:r>
        <w:t xml:space="preserve">and</w:t>
      </w:r>
      <w:r>
        <w:t xml:space="preserve"> </w:t>
      </w:r>
      <w:r>
        <w:t xml:space="preserve">Subjective Well-Being</w:t>
      </w:r>
      <w:r>
        <w:t xml:space="preserve">:</w:t>
      </w:r>
      <w:r>
        <w:t xml:space="preserve"> </w:t>
      </w:r>
      <w:r>
        <w:t xml:space="preserve">An Empirical Investigation Based</w:t>
      </w:r>
      <w:r>
        <w:t xml:space="preserve"> </w:t>
      </w:r>
      <w:r>
        <w:t xml:space="preserve">on</w:t>
      </w:r>
      <w:r>
        <w:t xml:space="preserve"> </w:t>
      </w:r>
      <w:r>
        <w:t xml:space="preserve">Social Production Function Theory</w:t>
      </w:r>
      <w:r>
        <w:t xml:space="preserve">.</w:t>
      </w:r>
      <w:r>
        <w:t xml:space="preserve"> </w:t>
      </w:r>
      <w:r>
        <w:rPr>
          <w:i/>
          <w:iCs/>
        </w:rPr>
        <w:t xml:space="preserve">Journal of Happiness Studies</w:t>
      </w:r>
      <w:r>
        <w:t xml:space="preserve">,</w:t>
      </w:r>
      <w:r>
        <w:t xml:space="preserve"> </w:t>
      </w:r>
      <w:r>
        <w:rPr>
          <w:i/>
          <w:iCs/>
        </w:rPr>
        <w:t xml:space="preserve">21</w:t>
      </w:r>
      <w:r>
        <w:t xml:space="preserve">(3), 799–824.</w:t>
      </w:r>
      <w:r>
        <w:t xml:space="preserve"> </w:t>
      </w:r>
      <w:hyperlink r:id="rId215">
        <w:r>
          <w:rPr>
            <w:rStyle w:val="Hyperlink"/>
          </w:rPr>
          <w:t xml:space="preserve">https://doi.org/10.1007/s10902-019-00107-9</w:t>
        </w:r>
      </w:hyperlink>
    </w:p>
    <w:bookmarkEnd w:id="216"/>
    <w:bookmarkStart w:id="218" w:name="ref-R-mice"/>
    <w:p>
      <w:pPr>
        <w:pStyle w:val="Bibliography"/>
      </w:pPr>
      <w:r>
        <w:t xml:space="preserve">van Buuren, S., &amp; Groothuis-Oudshoorn, K. (2025).</w:t>
      </w:r>
      <w:r>
        <w:t xml:space="preserve"> </w:t>
      </w:r>
      <w:r>
        <w:rPr>
          <w:i/>
          <w:iCs/>
        </w:rPr>
        <w:t xml:space="preserve">Mice: Multivariate imputation by chained equations</w:t>
      </w:r>
      <w:r>
        <w:t xml:space="preserve">.</w:t>
      </w:r>
      <w:r>
        <w:t xml:space="preserve"> </w:t>
      </w:r>
      <w:hyperlink r:id="rId217">
        <w:r>
          <w:rPr>
            <w:rStyle w:val="Hyperlink"/>
          </w:rPr>
          <w:t xml:space="preserve">https://github.com/amices/mice</w:t>
        </w:r>
      </w:hyperlink>
    </w:p>
    <w:bookmarkEnd w:id="218"/>
    <w:bookmarkStart w:id="220" w:name="ref-Verhulst2020"/>
    <w:p>
      <w:pPr>
        <w:pStyle w:val="Bibliography"/>
      </w:pPr>
      <w:r>
        <w:t xml:space="preserve">Verhulst, F. C., &amp; Tiemeier, H. (2020). Socioeconomic</w:t>
      </w:r>
      <w:r>
        <w:t xml:space="preserve"> </w:t>
      </w:r>
      <w:r>
        <w:t xml:space="preserve">Inequalities</w:t>
      </w:r>
      <w:r>
        <w:t xml:space="preserve"> </w:t>
      </w:r>
      <w:r>
        <w:t xml:space="preserve">and</w:t>
      </w:r>
      <w:r>
        <w:t xml:space="preserve"> </w:t>
      </w:r>
      <w:r>
        <w:t xml:space="preserve">Mental Health Problems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 In E. Taylor, F. C. Verhulst, J. Wong, K. Yoshida, &amp; A. Nikapota (Eds.),</w:t>
      </w:r>
      <w:r>
        <w:t xml:space="preserve"> </w:t>
      </w:r>
      <w:r>
        <w:rPr>
          <w:i/>
          <w:iCs/>
        </w:rPr>
        <w:t xml:space="preserve">Mental</w:t>
      </w:r>
      <w:r>
        <w:rPr>
          <w:i/>
          <w:iCs/>
        </w:rPr>
        <w:t xml:space="preserve"> </w:t>
      </w:r>
      <w:r>
        <w:rPr>
          <w:i/>
          <w:iCs/>
        </w:rPr>
        <w:t xml:space="preserve">Health</w:t>
      </w:r>
      <w:r>
        <w:rPr>
          <w:i/>
          <w:iCs/>
        </w:rPr>
        <w:t xml:space="preserve"> </w:t>
      </w:r>
      <w:r>
        <w:rPr>
          <w:i/>
          <w:iCs/>
        </w:rPr>
        <w:t xml:space="preserve">and</w:t>
      </w:r>
      <w:r>
        <w:rPr>
          <w:i/>
          <w:iCs/>
        </w:rPr>
        <w:t xml:space="preserve"> </w:t>
      </w:r>
      <w:r>
        <w:rPr>
          <w:i/>
          <w:iCs/>
        </w:rPr>
        <w:t xml:space="preserve">Illness</w:t>
      </w:r>
      <w:r>
        <w:rPr>
          <w:i/>
          <w:iCs/>
        </w:rPr>
        <w:t xml:space="preserve"> </w:t>
      </w:r>
      <w:r>
        <w:rPr>
          <w:i/>
          <w:iCs/>
        </w:rPr>
        <w:t xml:space="preserve">of</w:t>
      </w:r>
      <w:r>
        <w:rPr>
          <w:i/>
          <w:iCs/>
        </w:rPr>
        <w:t xml:space="preserve"> </w:t>
      </w:r>
      <w:r>
        <w:rPr>
          <w:i/>
          <w:iCs/>
        </w:rPr>
        <w:t xml:space="preserve">Children</w:t>
      </w:r>
      <w:r>
        <w:rPr>
          <w:i/>
          <w:iCs/>
        </w:rPr>
        <w:t xml:space="preserve"> </w:t>
      </w:r>
      <w:r>
        <w:rPr>
          <w:i/>
          <w:iCs/>
        </w:rPr>
        <w:t xml:space="preserve">and</w:t>
      </w:r>
      <w:r>
        <w:rPr>
          <w:i/>
          <w:iCs/>
        </w:rPr>
        <w:t xml:space="preserve"> </w:t>
      </w:r>
      <w:r>
        <w:rPr>
          <w:i/>
          <w:iCs/>
        </w:rPr>
        <w:t xml:space="preserve">Adolescents</w:t>
      </w:r>
      <w:r>
        <w:t xml:space="preserve"> </w:t>
      </w:r>
      <w:r>
        <w:t xml:space="preserve">(pp. 1–18). Springer.</w:t>
      </w:r>
      <w:r>
        <w:t xml:space="preserve"> </w:t>
      </w:r>
      <w:hyperlink r:id="rId219">
        <w:r>
          <w:rPr>
            <w:rStyle w:val="Hyperlink"/>
          </w:rPr>
          <w:t xml:space="preserve">https://doi.org/10.1007/978-981-10-0753-8_57-1</w:t>
        </w:r>
      </w:hyperlink>
    </w:p>
    <w:bookmarkEnd w:id="220"/>
    <w:bookmarkStart w:id="222"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21">
        <w:r>
          <w:rPr>
            <w:rStyle w:val="Hyperlink"/>
          </w:rPr>
          <w:t xml:space="preserve">https://doi.org/10.1007/s00787-023-02206-8</w:t>
        </w:r>
      </w:hyperlink>
    </w:p>
    <w:bookmarkEnd w:id="222"/>
    <w:bookmarkStart w:id="224" w:name="ref-Yoon2023"/>
    <w:p>
      <w:pPr>
        <w:pStyle w:val="Bibliography"/>
      </w:pPr>
      <w:r>
        <w:t xml:space="preserve">Yoon, Y., Eisenstadt, M., Lereya, S. T., &amp; Deighton, J. (2023). Gender difference in the change of adolescents’ mental health and subjective wellbeing trajectories.</w:t>
      </w:r>
      <w:r>
        <w:t xml:space="preserve"> </w:t>
      </w:r>
      <w:r>
        <w:rPr>
          <w:i/>
          <w:iCs/>
        </w:rPr>
        <w:t xml:space="preserve">European Child &amp; Adolescent Psychiatry</w:t>
      </w:r>
      <w:r>
        <w:t xml:space="preserve">,</w:t>
      </w:r>
      <w:r>
        <w:t xml:space="preserve"> </w:t>
      </w:r>
      <w:r>
        <w:rPr>
          <w:i/>
          <w:iCs/>
        </w:rPr>
        <w:t xml:space="preserve">32</w:t>
      </w:r>
      <w:r>
        <w:t xml:space="preserve">(9), 1569–1578.</w:t>
      </w:r>
      <w:r>
        <w:t xml:space="preserve"> </w:t>
      </w:r>
      <w:hyperlink r:id="rId223">
        <w:r>
          <w:rPr>
            <w:rStyle w:val="Hyperlink"/>
          </w:rPr>
          <w:t xml:space="preserve">https://doi.org/10.1007/s00787-022-01961-4</w:t>
        </w:r>
      </w:hyperlink>
    </w:p>
    <w:bookmarkEnd w:id="224"/>
    <w:bookmarkEnd w:id="225"/>
    <w:bookmarkEnd w:id="226"/>
    <w:bookmarkStart w:id="306" w:name="appendix-count"/>
    <w:bookmarkStart w:id="252" w:name="sec-appendix-measures"/>
    <w:p>
      <w:pPr>
        <w:pStyle w:val="Heading2"/>
      </w:pPr>
      <w:r>
        <w:t xml:space="preserve">6 Appendix: Construction of measures</w:t>
      </w:r>
    </w:p>
    <w:bookmarkStart w:id="232" w:name="sec-appendix-measures-ses"/>
    <w:p>
      <w:pPr>
        <w:pStyle w:val="Heading3"/>
      </w:pPr>
      <w:r>
        <w:t xml:space="preserve">6.1 Construction of SES measure</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2025)</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7</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230" w:name="fig-ses_poly"/>
          <w:p>
            <w:pPr>
              <w:jc w:val="center"/>
            </w:pPr>
            <w:pPr>
              <w:jc w:val="start"/>
              <w:spacing w:before="200"/>
              <w:pStyle w:val="ImageCaption"/>
            </w:pPr>
            <w:r>
              <w:t xml:space="preserve">Figure 7: Distribution of SES summary measure, colour-coded by quintile group</w:t>
            </w:r>
          </w:p>
          <w:p>
            <w:pPr>
              <w:jc w:val="center"/>
            </w:pPr>
            <w:r>
              <w:drawing>
                <wp:inline>
                  <wp:extent cx="5334000" cy="3810000"/>
                  <wp:effectExtent b="0" l="0" r="0" t="0"/>
                  <wp:docPr descr="" title="" id="228" name="Picture"/>
                  <a:graphic>
                    <a:graphicData uri="http://schemas.openxmlformats.org/drawingml/2006/picture">
                      <pic:pic>
                        <pic:nvPicPr>
                          <pic:cNvPr descr="index_files/figure-docx/data-ses_poly-1.png" id="229" name="Picture"/>
                          <pic:cNvPicPr>
                            <a:picLocks noChangeArrowheads="1" noChangeAspect="1"/>
                          </pic:cNvPicPr>
                        </pic:nvPicPr>
                        <pic:blipFill>
                          <a:blip r:embed="rId2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230"/>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7</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231" w:name="tbl-data-descriptives-qses_poly"/>
          <w:p>
            <w:pPr>
              <w:jc w:val="center"/>
            </w:pPr>
            <w:pPr>
              <w:jc w:val="start"/>
              <w:spacing w:before="200"/>
              <w:pStyle w:val="ImageCaption"/>
            </w:pPr>
            <w:r>
              <w:t xml:space="preserve">Table 7: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p/>
          <w:bookmarkEnd w:id="231"/>
        </w:tc>
      </w:tr>
    </w:tbl>
    <w:bookmarkEnd w:id="232"/>
    <w:bookmarkStart w:id="251" w:name="sec-appendix-measures-adverse-events"/>
    <w:p>
      <w:pPr>
        <w:pStyle w:val="Heading3"/>
      </w:pPr>
      <w:r>
        <w:t xml:space="preserve">6.2 Construction of adverse life events measure</w:t>
      </w:r>
    </w:p>
    <w:p>
      <w:pPr>
        <w:pStyle w:val="FirstParagraph"/>
      </w:pPr>
      <w:r>
        <w:t xml:space="preserve">In Wave 1, COSMO asked participants whether they had experienced each of the following life events since the onset of the pandemic in March 2020:</w:t>
      </w:r>
    </w:p>
    <w:p>
      <w:pPr>
        <w:pStyle w:val="Compact"/>
        <w:numPr>
          <w:ilvl w:val="0"/>
          <w:numId w:val="1004"/>
        </w:numPr>
      </w:pPr>
      <w:r>
        <w:t xml:space="preserve">A parent/guardian or carer lost their job or business</w:t>
      </w:r>
    </w:p>
    <w:p>
      <w:pPr>
        <w:pStyle w:val="Compact"/>
        <w:numPr>
          <w:ilvl w:val="0"/>
          <w:numId w:val="1004"/>
        </w:numPr>
      </w:pPr>
      <w:r>
        <w:t xml:space="preserve">My family could not afford to buy enough food, or had to use a food bank</w:t>
      </w:r>
    </w:p>
    <w:p>
      <w:pPr>
        <w:pStyle w:val="Compact"/>
        <w:numPr>
          <w:ilvl w:val="0"/>
          <w:numId w:val="1004"/>
        </w:numPr>
      </w:pPr>
      <w:r>
        <w:t xml:space="preserve">My family could not afford to pay their bills/rent/mortgage</w:t>
      </w:r>
    </w:p>
    <w:p>
      <w:pPr>
        <w:pStyle w:val="Compact"/>
        <w:numPr>
          <w:ilvl w:val="0"/>
          <w:numId w:val="1004"/>
        </w:numPr>
      </w:pPr>
      <w:r>
        <w:t xml:space="preserve">I was seriously ill in hospital</w:t>
      </w:r>
    </w:p>
    <w:p>
      <w:pPr>
        <w:pStyle w:val="Compact"/>
        <w:numPr>
          <w:ilvl w:val="0"/>
          <w:numId w:val="1004"/>
        </w:numPr>
      </w:pPr>
      <w:r>
        <w:t xml:space="preserve">A close family member or friend is or was seriously ill in hospital</w:t>
      </w:r>
    </w:p>
    <w:p>
      <w:pPr>
        <w:pStyle w:val="Compact"/>
        <w:numPr>
          <w:ilvl w:val="0"/>
          <w:numId w:val="1004"/>
        </w:numPr>
      </w:pPr>
      <w:r>
        <w:t xml:space="preserve">A close family member or friend died</w:t>
      </w:r>
    </w:p>
    <w:p>
      <w:pPr>
        <w:pStyle w:val="Compact"/>
        <w:numPr>
          <w:ilvl w:val="0"/>
          <w:numId w:val="1004"/>
        </w:numPr>
      </w:pPr>
      <w:r>
        <w:t xml:space="preserve">Increase in number of arguments with parents/guardians</w:t>
      </w:r>
    </w:p>
    <w:p>
      <w:pPr>
        <w:pStyle w:val="Compact"/>
        <w:numPr>
          <w:ilvl w:val="0"/>
          <w:numId w:val="1004"/>
        </w:numPr>
      </w:pPr>
      <w:r>
        <w:t xml:space="preserve">Increase in number of arguments between parents/guardians</w:t>
      </w:r>
    </w:p>
    <w:p>
      <w:pPr>
        <w:pStyle w:val="Compact"/>
        <w:numPr>
          <w:ilvl w:val="0"/>
          <w:numId w:val="1004"/>
        </w:numPr>
      </w:pPr>
      <w:r>
        <w:t xml:space="preserve">Moving to a new home</w:t>
      </w:r>
    </w:p>
    <w:p>
      <w:pPr>
        <w:pStyle w:val="Compact"/>
        <w:numPr>
          <w:ilvl w:val="0"/>
          <w:numId w:val="1004"/>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final column of</w:t>
      </w:r>
      <w:r>
        <w:t xml:space="preserve"> </w:t>
      </w:r>
      <w:hyperlink w:anchor="tbl-events">
        <w:r>
          <w:rPr>
            <w:rStyle w:val="Hyperlink"/>
          </w:rPr>
          <w:t xml:space="preserve">Table 8</w:t>
        </w:r>
      </w:hyperlink>
      <w:r>
        <w:t xml:space="preserve">.</w:t>
      </w:r>
    </w:p>
    <w:p>
      <w:pPr>
        <w:pStyle w:val="BodyText"/>
      </w:pPr>
      <w:r>
        <w:t xml:space="preserve">The substantial differences in prevalence of the events means that using a simple count of events experienced would inappropriate impose the same importance, or severity, for all the events. Instead, we allow these to differ, such that lower probability/higher impact events are given more weight by creating a composite index of adverse life events using polychoric principal component analysis (PCA) of the ten adverse life events.</w:t>
      </w:r>
    </w:p>
    <w:tbl>
      <w:tblPr>
        <w:tblStyle w:val="Table"/>
        <w:tblW w:type="pct" w:w="5000"/>
        <w:tblLayout w:type="fixed"/>
        <w:tblLook w:firstRow="0" w:lastRow="0" w:firstColumn="0" w:lastColumn="0" w:noHBand="0" w:noVBand="0" w:val="0000"/>
      </w:tblPr>
      <w:tblGrid>
        <w:gridCol w:w="7920"/>
      </w:tblGrid>
      <w:tr>
        <w:tc>
          <w:tcPr/>
          <w:bookmarkStart w:id="236" w:name="fig-events-index"/>
          <w:p>
            <w:pPr>
              <w:jc w:val="center"/>
            </w:pPr>
            <w:pPr>
              <w:jc w:val="start"/>
              <w:spacing w:before="200"/>
              <w:pStyle w:val="ImageCaption"/>
            </w:pPr>
            <w:r>
              <w:t xml:space="preserve">Figure 8: Distribution of Adverse Events Index, colour-coded by tertile group</w:t>
            </w:r>
          </w:p>
          <w:p>
            <w:pPr>
              <w:jc w:val="center"/>
            </w:pPr>
            <w:r>
              <w:drawing>
                <wp:inline>
                  <wp:extent cx="5334000" cy="3810000"/>
                  <wp:effectExtent b="0" l="0" r="0" t="0"/>
                  <wp:docPr descr="" title="" id="234" name="Picture"/>
                  <a:graphic>
                    <a:graphicData uri="http://schemas.openxmlformats.org/drawingml/2006/picture">
                      <pic:pic>
                        <pic:nvPicPr>
                          <pic:cNvPr descr="index_files/figure-docx/events-index-dist-1.png" id="235" name="Picture"/>
                          <pic:cNvPicPr>
                            <a:picLocks noChangeArrowheads="1" noChangeAspect="1"/>
                          </pic:cNvPicPr>
                        </pic:nvPicPr>
                        <pic:blipFill>
                          <a:blip r:embed="rId2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236"/>
        </w:tc>
      </w:tr>
    </w:tbl>
    <w:p>
      <w:pPr>
        <w:pStyle w:val="BodyText"/>
      </w:pPr>
      <w:r>
        <w:t xml:space="preserve">The first principal component explains 32% of the variance. We standardise this index (mean 0; standard deviation 1) in our analysis sample, plot the distribution in</w:t>
      </w:r>
      <w:r>
        <w:t xml:space="preserve"> </w:t>
      </w:r>
      <w:hyperlink w:anchor="fig-events-index">
        <w:r>
          <w:rPr>
            <w:rStyle w:val="Hyperlink"/>
          </w:rPr>
          <w:t xml:space="preserve">Figure 8</w:t>
        </w:r>
      </w:hyperlink>
      <w:r>
        <w:t xml:space="preserve">, and split it into three groups based on the tertiles of the index (accounting for sample weighting). We label these groups as</w:t>
      </w:r>
      <w:r>
        <w:t xml:space="preserve"> </w:t>
      </w:r>
      <w:r>
        <w:t xml:space="preserve">“Fewer Adverse Events Tertile Group”</w:t>
      </w:r>
      <w:r>
        <w:t xml:space="preserve">,</w:t>
      </w:r>
      <w:r>
        <w:t xml:space="preserve"> </w:t>
      </w:r>
      <w:r>
        <w:t xml:space="preserve">“Average Adverse Events Tertile Group”</w:t>
      </w:r>
      <w:r>
        <w:t xml:space="preserve"> </w:t>
      </w:r>
      <w:r>
        <w:t xml:space="preserve">and</w:t>
      </w:r>
      <w:r>
        <w:t xml:space="preserve"> </w:t>
      </w:r>
      <w:r>
        <w:t xml:space="preserve">“More Adverse Events Tertile Group”</w:t>
      </w:r>
      <w:r>
        <w:t xml:space="preserve"> </w:t>
      </w:r>
      <w:r>
        <w:t xml:space="preserve">to reflect the relative impact of adverse events experienced in each.</w:t>
      </w:r>
    </w:p>
    <w:tbl>
      <w:tblPr>
        <w:tblStyle w:val="Table"/>
        <w:tblW w:type="pct" w:w="5000"/>
        <w:tblLayout w:type="fixed"/>
        <w:tblLook w:firstRow="0" w:lastRow="0" w:firstColumn="0" w:lastColumn="0" w:noHBand="0" w:noVBand="0" w:val="0000"/>
      </w:tblPr>
      <w:tblGrid>
        <w:gridCol w:w="7920"/>
      </w:tblGrid>
      <w:tr>
        <w:tc>
          <w:tcPr/>
          <w:bookmarkStart w:id="237" w:name="tbl-events"/>
          <w:p>
            <w:pPr>
              <w:jc w:val="center"/>
            </w:pPr>
            <w:pPr>
              <w:jc w:val="start"/>
              <w:spacing w:before="200"/>
              <w:pStyle w:val="ImageCaption"/>
            </w:pPr>
            <w:r>
              <w:t xml:space="preserve">Table 8: Adverse life events experienced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Fewer</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Average</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More</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237"/>
        </w:tc>
      </w:tr>
    </w:tbl>
    <w:p>
      <w:pPr>
        <w:pStyle w:val="BodyText"/>
      </w:pPr>
      <w:r>
        <w:t xml:space="preserve">We report the prevalence of each of the adverse life events by the three groups in</w:t>
      </w:r>
      <w:r>
        <w:t xml:space="preserve"> </w:t>
      </w:r>
      <w:hyperlink w:anchor="tbl-events">
        <w:r>
          <w:rPr>
            <w:rStyle w:val="Hyperlink"/>
          </w:rPr>
          <w:t xml:space="preserve">Table 8</w:t>
        </w:r>
      </w:hyperlink>
      <w:r>
        <w:t xml:space="preserve">. This demonstrates that these groups are capturing different levels of exposure to adverse life events, while reflecting the differential prevalence of the events. Students in the</w:t>
      </w:r>
      <w:r>
        <w:t xml:space="preserve"> </w:t>
      </w:r>
      <w:r>
        <w:t xml:space="preserve">“Fewer Adverse Events Tertile Group”</w:t>
      </w:r>
      <w:r>
        <w:t xml:space="preserve"> </w:t>
      </w:r>
      <w:r>
        <w:t xml:space="preserve">are unlikely to have experienced any of the events, with the exception of a close family member dying. In contrast, students in the</w:t>
      </w:r>
      <w:r>
        <w:t xml:space="preserve"> </w:t>
      </w:r>
      <w:r>
        <w:t xml:space="preserve">“More Adverse Events Tertile Group”</w:t>
      </w:r>
      <w:r>
        <w:t xml:space="preserve"> </w:t>
      </w:r>
      <w:r>
        <w:t xml:space="preserve">are likely to have experienced multiple events.</w:t>
      </w:r>
    </w:p>
    <w:p>
      <w:pPr>
        <w:sectPr/>
      </w:pPr>
    </w:p>
    <w:bookmarkStart w:id="250" w:name="sec-appendix-regression"/>
    <w:p>
      <w:pPr>
        <w:pStyle w:val="Heading2"/>
      </w:pPr>
      <w:r>
        <w:t xml:space="preserve">7 Appendix: Full regression tables</w:t>
      </w:r>
    </w:p>
    <w:bookmarkStart w:id="241" w:name="demographic-differences-in-wellbeing"/>
    <w:p>
      <w:pPr>
        <w:pStyle w:val="Heading3"/>
      </w:pPr>
      <w:r>
        <w:t xml:space="preserve">7.1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38"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9"/>
        </w:tc>
      </w:tr>
    </w:tbl>
    <w:tbl>
      <w:tblPr>
        <w:tblStyle w:val="Table"/>
        <w:tblW w:type="pct" w:w="5000"/>
        <w:tblLayout w:type="fixed"/>
        <w:tblLook w:firstRow="0" w:lastRow="0" w:firstColumn="0" w:lastColumn="0" w:noHBand="0" w:noVBand="0" w:val="0000"/>
      </w:tblPr>
      <w:tblGrid>
        <w:gridCol w:w="7920"/>
      </w:tblGrid>
      <w:tr>
        <w:tc>
          <w:tcPr/>
          <w:bookmarkStart w:id="240"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0"/>
        </w:tc>
      </w:tr>
    </w:tbl>
    <w:bookmarkEnd w:id="241"/>
    <w:bookmarkStart w:id="245" w:name="Xac13e44ea551b0dad457af74d7b1a73dca900ee"/>
    <w:p>
      <w:pPr>
        <w:pStyle w:val="Heading3"/>
      </w:pPr>
      <w:r>
        <w:t xml:space="preserve">7.2 Perceived continuing impact of the pandemic on wellbeing</w:t>
      </w:r>
    </w:p>
    <w:tbl>
      <w:tblPr>
        <w:tblStyle w:val="Table"/>
        <w:tblW w:type="pct" w:w="5000"/>
        <w:tblLayout w:type="fixed"/>
        <w:tblLook w:firstRow="0" w:lastRow="0" w:firstColumn="0" w:lastColumn="0" w:noHBand="0" w:noVBand="0" w:val="0000"/>
      </w:tblPr>
      <w:tblGrid>
        <w:gridCol w:w="7920"/>
      </w:tblGrid>
      <w:tr>
        <w:tc>
          <w:tcPr/>
          <w:bookmarkStart w:id="242"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2"/>
        </w:tc>
      </w:tr>
    </w:tbl>
    <w:tbl>
      <w:tblPr>
        <w:tblStyle w:val="Table"/>
        <w:tblW w:type="pct" w:w="5000"/>
        <w:tblLayout w:type="fixed"/>
        <w:tblLook w:firstRow="0" w:lastRow="0" w:firstColumn="0" w:lastColumn="0" w:noHBand="0" w:noVBand="0" w:val="0000"/>
      </w:tblPr>
      <w:tblGrid>
        <w:gridCol w:w="7920"/>
      </w:tblGrid>
      <w:tr>
        <w:tc>
          <w:tcPr/>
          <w:bookmarkStart w:id="243"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3"/>
        </w:tc>
      </w:tr>
    </w:tbl>
    <w:tbl>
      <w:tblPr>
        <w:tblStyle w:val="Table"/>
        <w:tblW w:type="pct" w:w="5000"/>
        <w:tblLayout w:type="fixed"/>
        <w:tblLook w:firstRow="0" w:lastRow="0" w:firstColumn="0" w:lastColumn="0" w:noHBand="0" w:noVBand="0" w:val="0000"/>
      </w:tblPr>
      <w:tblGrid>
        <w:gridCol w:w="7920"/>
      </w:tblGrid>
      <w:tr>
        <w:tc>
          <w:tcPr/>
          <w:bookmarkStart w:id="244"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4"/>
        </w:tc>
      </w:tr>
    </w:tbl>
    <w:bookmarkEnd w:id="245"/>
    <w:bookmarkStart w:id="249" w:name="adverse-life-events-1"/>
    <w:p>
      <w:pPr>
        <w:pStyle w:val="Heading3"/>
      </w:pPr>
      <w:r>
        <w:t xml:space="preserve">7.3 Adverse life events</w:t>
      </w:r>
    </w:p>
    <w:tbl>
      <w:tblPr>
        <w:tblStyle w:val="Table"/>
        <w:tblW w:type="pct" w:w="5000"/>
        <w:tblLayout w:type="fixed"/>
        <w:tblLook w:firstRow="0" w:lastRow="0" w:firstColumn="0" w:lastColumn="0" w:noHBand="0" w:noVBand="0" w:val="0000"/>
      </w:tblPr>
      <w:tblGrid>
        <w:gridCol w:w="7920"/>
      </w:tblGrid>
      <w:tr>
        <w:tc>
          <w:tcPr/>
          <w:bookmarkStart w:id="246"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6"/>
        </w:tc>
      </w:tr>
    </w:tbl>
    <w:tbl>
      <w:tblPr>
        <w:tblStyle w:val="Table"/>
        <w:tblW w:type="pct" w:w="5000"/>
        <w:tblLayout w:type="fixed"/>
        <w:tblLook w:firstRow="0" w:lastRow="0" w:firstColumn="0" w:lastColumn="0" w:noHBand="0" w:noVBand="0" w:val="0000"/>
      </w:tblPr>
      <w:tblGrid>
        <w:gridCol w:w="7920"/>
      </w:tblGrid>
      <w:tr>
        <w:tc>
          <w:tcPr/>
          <w:bookmarkStart w:id="247"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7"/>
        </w:tc>
      </w:tr>
    </w:tbl>
    <w:tbl>
      <w:tblPr>
        <w:tblStyle w:val="Table"/>
        <w:tblW w:type="pct" w:w="5000"/>
        <w:tblLayout w:type="fixed"/>
        <w:tblLook w:firstRow="0" w:lastRow="0" w:firstColumn="0" w:lastColumn="0" w:noHBand="0" w:noVBand="0" w:val="0000"/>
      </w:tblPr>
      <w:tblGrid>
        <w:gridCol w:w="7920"/>
      </w:tblGrid>
      <w:tr>
        <w:tc>
          <w:tcPr/>
          <w:bookmarkStart w:id="248"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8"/>
        </w:tc>
      </w:tr>
    </w:tbl>
    <w:p>
      <w:pPr>
        <w:sectPr>
          <w:pgSz w:h="11906" w:w="16838" w:orient="landscape"/>
        </w:sectPr>
      </w:pPr>
    </w:p>
    <w:bookmarkEnd w:id="249"/>
    <w:bookmarkEnd w:id="250"/>
    <w:bookmarkEnd w:id="251"/>
    <w:bookmarkEnd w:id="252"/>
    <w:bookmarkStart w:id="295" w:name="sec-appendix-supplementary-results"/>
    <w:p>
      <w:pPr>
        <w:pStyle w:val="Heading2"/>
      </w:pPr>
      <w:r>
        <w:t xml:space="preserve">8 Appendix: Supplementary Results</w:t>
      </w:r>
    </w:p>
    <w:bookmarkStart w:id="283" w:name="Xeab9631bc62db9efcb08ae44a003ec882a482b8"/>
    <w:p>
      <w:pPr>
        <w:pStyle w:val="Heading3"/>
      </w:pPr>
      <w:r>
        <w:t xml:space="preserve">8.1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62" w:name="fig-results-lifesat-ethnic"/>
          <w:p>
            <w:pPr>
              <w:jc w:val="center"/>
            </w:pPr>
            <w:pPr>
              <w:jc w:val="start"/>
              <w:spacing w:before="200"/>
              <w:pStyle w:val="ImageCaption"/>
            </w:pPr>
            <w:r>
              <w:t xml:space="preserve">Figure 9: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54" name="Picture"/>
                        <a:graphic>
                          <a:graphicData uri="http://schemas.openxmlformats.org/drawingml/2006/picture">
                            <pic:pic>
                              <pic:nvPicPr>
                                <pic:cNvPr descr="index_files/figure-docx/results-lifesat-ethnic-1.png" id="255" name="Picture"/>
                                <pic:cNvPicPr>
                                  <a:picLocks noChangeArrowheads="1" noChangeAspect="1"/>
                                </pic:cNvPicPr>
                              </pic:nvPicPr>
                              <pic:blipFill>
                                <a:blip r:embed="rId25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57" name="Picture"/>
                        <a:graphic>
                          <a:graphicData uri="http://schemas.openxmlformats.org/drawingml/2006/picture">
                            <pic:pic>
                              <pic:nvPicPr>
                                <pic:cNvPr descr="index_files/figure-docx/results-lifesat-ethnic-2.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60" name="Picture"/>
                        <a:graphic>
                          <a:graphicData uri="http://schemas.openxmlformats.org/drawingml/2006/picture">
                            <pic:pic>
                              <pic:nvPicPr>
                                <pic:cNvPr descr="index_files/figure-docx/results-lifesat-ethnic-3.png" id="261" name="Picture"/>
                                <pic:cNvPicPr>
                                  <a:picLocks noChangeArrowheads="1" noChangeAspect="1"/>
                                </pic:cNvPicPr>
                              </pic:nvPicPr>
                              <pic:blipFill>
                                <a:blip r:embed="rId25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62"/>
        </w:tc>
      </w:tr>
    </w:tbl>
    <w:p>
      <w:pPr>
        <w:pStyle w:val="BodyText"/>
      </w:pPr>
      <w:r>
        <w:t xml:space="preserve">Across Waves 1 and 2 (panels 1 and 2 of</w:t>
      </w:r>
      <w:r>
        <w:t xml:space="preserve"> </w:t>
      </w:r>
      <w:hyperlink w:anchor="fig-results-lifesat-ethnic">
        <w:r>
          <w:rPr>
            <w:rStyle w:val="Hyperlink"/>
          </w:rPr>
          <w:t xml:space="preserve">Figure 9</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272" w:name="fig-results-lifesat-ses"/>
          <w:p>
            <w:pPr>
              <w:jc w:val="center"/>
            </w:pPr>
            <w:pPr>
              <w:jc w:val="start"/>
              <w:spacing w:before="200"/>
              <w:pStyle w:val="ImageCaption"/>
            </w:pPr>
            <w:r>
              <w:t xml:space="preserve">Figure 10: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64" name="Picture"/>
                        <a:graphic>
                          <a:graphicData uri="http://schemas.openxmlformats.org/drawingml/2006/picture">
                            <pic:pic>
                              <pic:nvPicPr>
                                <pic:cNvPr descr="index_files/figure-docx/results-lifesat-ses-1.png" id="265" name="Picture"/>
                                <pic:cNvPicPr>
                                  <a:picLocks noChangeArrowheads="1" noChangeAspect="1"/>
                                </pic:cNvPicPr>
                              </pic:nvPicPr>
                              <pic:blipFill>
                                <a:blip r:embed="rId26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67" name="Picture"/>
                        <a:graphic>
                          <a:graphicData uri="http://schemas.openxmlformats.org/drawingml/2006/picture">
                            <pic:pic>
                              <pic:nvPicPr>
                                <pic:cNvPr descr="index_files/figure-docx/results-lifesat-ses-2.png" id="268" name="Picture"/>
                                <pic:cNvPicPr>
                                  <a:picLocks noChangeArrowheads="1" noChangeAspect="1"/>
                                </pic:cNvPicPr>
                              </pic:nvPicPr>
                              <pic:blipFill>
                                <a:blip r:embed="rId26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70" name="Picture"/>
                        <a:graphic>
                          <a:graphicData uri="http://schemas.openxmlformats.org/drawingml/2006/picture">
                            <pic:pic>
                              <pic:nvPicPr>
                                <pic:cNvPr descr="index_files/figure-docx/results-lifesat-ses-3.png" id="271" name="Picture"/>
                                <pic:cNvPicPr>
                                  <a:picLocks noChangeArrowheads="1" noChangeAspect="1"/>
                                </pic:cNvPicPr>
                              </pic:nvPicPr>
                              <pic:blipFill>
                                <a:blip r:embed="rId26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72"/>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w:t>
      </w:r>
    </w:p>
    <w:tbl>
      <w:tblPr>
        <w:tblStyle w:val="Table"/>
        <w:tblW w:type="pct" w:w="5000"/>
        <w:tblLayout w:type="fixed"/>
        <w:tblLook w:firstRow="0" w:lastRow="0" w:firstColumn="0" w:lastColumn="0" w:noHBand="0" w:noVBand="0" w:val="0000"/>
      </w:tblPr>
      <w:tblGrid>
        <w:gridCol w:w="7920"/>
      </w:tblGrid>
      <w:tr>
        <w:tc>
          <w:tcPr/>
          <w:bookmarkStart w:id="282" w:name="fig-pred-diff-gender"/>
          <w:p>
            <w:pPr>
              <w:jc w:val="center"/>
            </w:pPr>
            <w:pPr>
              <w:jc w:val="start"/>
              <w:spacing w:before="200"/>
              <w:pStyle w:val="ImageCaption"/>
            </w:pPr>
            <w:r>
              <w:t xml:space="preserve">Figure 11: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74" name="Picture"/>
                        <a:graphic>
                          <a:graphicData uri="http://schemas.openxmlformats.org/drawingml/2006/picture">
                            <pic:pic>
                              <pic:nvPicPr>
                                <pic:cNvPr descr="index_files/figure-docx/results-pred-diff-gender-1.png" id="275" name="Picture"/>
                                <pic:cNvPicPr>
                                  <a:picLocks noChangeArrowheads="1" noChangeAspect="1"/>
                                </pic:cNvPicPr>
                              </pic:nvPicPr>
                              <pic:blipFill>
                                <a:blip r:embed="rId27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77" name="Picture"/>
                        <a:graphic>
                          <a:graphicData uri="http://schemas.openxmlformats.org/drawingml/2006/picture">
                            <pic:pic>
                              <pic:nvPicPr>
                                <pic:cNvPr descr="index_files/figure-docx/results-pred-diff-gender-2.png" id="278" name="Picture"/>
                                <pic:cNvPicPr>
                                  <a:picLocks noChangeArrowheads="1" noChangeAspect="1"/>
                                </pic:cNvPicPr>
                              </pic:nvPicPr>
                              <pic:blipFill>
                                <a:blip r:embed="rId27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80" name="Picture"/>
                        <a:graphic>
                          <a:graphicData uri="http://schemas.openxmlformats.org/drawingml/2006/picture">
                            <pic:pic>
                              <pic:nvPicPr>
                                <pic:cNvPr descr="index_files/figure-docx/results-pred-diff-gender-3.png" id="281" name="Picture"/>
                                <pic:cNvPicPr>
                                  <a:picLocks noChangeArrowheads="1" noChangeAspect="1"/>
                                </pic:cNvPicPr>
                              </pic:nvPicPr>
                              <pic:blipFill>
                                <a:blip r:embed="rId27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82"/>
        </w:tc>
      </w:tr>
    </w:tbl>
    <w:bookmarkEnd w:id="283"/>
    <w:bookmarkStart w:id="294" w:name="Xaa4c64adb391df17fbce5c1b2f69e873a65cae2"/>
    <w:p>
      <w:pPr>
        <w:pStyle w:val="Heading3"/>
      </w:pPr>
      <w:r>
        <w:t xml:space="preserve">8.2 Perceived continuing impact of the pandemic on wellbeing</w:t>
      </w:r>
    </w:p>
    <w:p>
      <w:pPr>
        <w:pStyle w:val="FirstParagraph"/>
      </w:pPr>
      <w:r>
        <w:t xml:space="preserve">Building on analysis in</w:t>
      </w:r>
      <w:r>
        <w:t xml:space="preserve"> </w:t>
      </w:r>
      <w:hyperlink w:anchor="sec-results-percep">
        <w:r>
          <w:rPr>
            <w:rStyle w:val="Hyperlink"/>
          </w:rPr>
          <w:t xml:space="preserve">Section 4.2</w:t>
        </w:r>
      </w:hyperlink>
      <w:r>
        <w:t xml:space="preserve">, we also explore whether the difference in wellbeing associated with having a negative perception of the impact of the pandemic on wellbeing is moderated by social provisions. We do so using Model P4 reported in</w:t>
      </w:r>
      <w:r>
        <w:t xml:space="preserve"> </w:t>
      </w:r>
      <w:hyperlink w:anchor="tbl-results-percep-w1">
        <w:r>
          <w:rPr>
            <w:rStyle w:val="Hyperlink"/>
          </w:rPr>
          <w:t xml:space="preserve">Table 12</w:t>
        </w:r>
      </w:hyperlink>
      <w:r>
        <w:t xml:space="preserve"> </w:t>
      </w:r>
      <w:r>
        <w:t xml:space="preserve">(for Wave 1),</w:t>
      </w:r>
      <w:r>
        <w:t xml:space="preserve"> </w:t>
      </w:r>
      <w:hyperlink w:anchor="tbl-results-percep-w2">
        <w:r>
          <w:rPr>
            <w:rStyle w:val="Hyperlink"/>
          </w:rPr>
          <w:t xml:space="preserve">Table 13</w:t>
        </w:r>
      </w:hyperlink>
      <w:r>
        <w:t xml:space="preserve"> </w:t>
      </w:r>
      <w:r>
        <w:t xml:space="preserve">(for Wave 2) and</w:t>
      </w:r>
      <w:r>
        <w:t xml:space="preserve"> </w:t>
      </w:r>
      <w:hyperlink w:anchor="tbl-results-percep-diff">
        <w:r>
          <w:rPr>
            <w:rStyle w:val="Hyperlink"/>
          </w:rPr>
          <w:t xml:space="preserve">Table 14</w:t>
        </w:r>
      </w:hyperlink>
      <w:r>
        <w:t xml:space="preserve"> </w:t>
      </w:r>
      <w:r>
        <w:t xml:space="preserve">(for Wave 2 adjusting for Wave 1) which includes an interaction term between these two factors. Since interaction terms can be complicated to interpret, we illustrate the results using predicted probabilities from the models (with all other characteristics held consitant at means or modal values) plotted in</w:t>
      </w:r>
      <w:r>
        <w:t xml:space="preserve"> </w:t>
      </w:r>
      <w:hyperlink w:anchor="fig-pred-diff-sps">
        <w:r>
          <w:rPr>
            <w:rStyle w:val="Hyperlink"/>
          </w:rPr>
          <w:t xml:space="preserve">Figure 12</w:t>
        </w:r>
      </w:hyperlink>
      <w:r>
        <w:t xml:space="preserve">.</w:t>
      </w:r>
    </w:p>
    <w:p>
      <w:pPr>
        <w:pStyle w:val="BodyText"/>
      </w:pPr>
      <w:r>
        <w:t xml:space="preserve">While we find associations with each of these two measures (approximately 1 point lower wellbeing among those with a negative perceived impact of the pandemic, as discussed in</w:t>
      </w:r>
      <w:r>
        <w:t xml:space="preserve"> </w:t>
      </w:r>
      <w:hyperlink w:anchor="sec-results-percep">
        <w:r>
          <w:rPr>
            <w:rStyle w:val="Hyperlink"/>
          </w:rPr>
          <w:t xml:space="preserve">Section 4.2</w:t>
        </w:r>
      </w:hyperlink>
      <w:r>
        <w:t xml:space="preserve">; a positive gradient associated with higher levels of social provisions), we find no evidence that the difference in wellbeing predicted by a negative perceived ongoing impact of the pandemic on wellbeing depends on the level of social provisions. Put another way, we expect the same change in wellbeing associated with a negative perceived impact of the pandemic on wellbeing regardless of the level of social provisions reported by the young person. This is true at both Waves 1 and 2, and for Wave 2 after adjusting for Wave 1 wellbeing.</w:t>
      </w:r>
    </w:p>
    <w:tbl>
      <w:tblPr>
        <w:tblStyle w:val="Table"/>
        <w:tblW w:type="pct" w:w="5000"/>
        <w:tblLayout w:type="fixed"/>
        <w:tblLook w:firstRow="0" w:lastRow="0" w:firstColumn="0" w:lastColumn="0" w:noHBand="0" w:noVBand="0" w:val="0000"/>
      </w:tblPr>
      <w:tblGrid>
        <w:gridCol w:w="7920"/>
      </w:tblGrid>
      <w:tr>
        <w:tc>
          <w:tcPr/>
          <w:bookmarkStart w:id="293" w:name="fig-pred-diff-sps"/>
          <w:p>
            <w:pPr>
              <w:jc w:val="center"/>
            </w:pPr>
            <w:pPr>
              <w:jc w:val="start"/>
              <w:spacing w:before="200"/>
              <w:pStyle w:val="ImageCaption"/>
            </w:pPr>
            <w:r>
              <w:t xml:space="preserve">Figure 12: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85" name="Picture"/>
                        <a:graphic>
                          <a:graphicData uri="http://schemas.openxmlformats.org/drawingml/2006/picture">
                            <pic:pic>
                              <pic:nvPicPr>
                                <pic:cNvPr descr="index_files/figure-docx/results-pred-diff-sps-1.png" id="286" name="Picture"/>
                                <pic:cNvPicPr>
                                  <a:picLocks noChangeArrowheads="1" noChangeAspect="1"/>
                                </pic:cNvPicPr>
                              </pic:nvPicPr>
                              <pic:blipFill>
                                <a:blip r:embed="rId28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88" name="Picture"/>
                        <a:graphic>
                          <a:graphicData uri="http://schemas.openxmlformats.org/drawingml/2006/picture">
                            <pic:pic>
                              <pic:nvPicPr>
                                <pic:cNvPr descr="index_files/figure-docx/results-pred-diff-sps-2.png" id="289" name="Picture"/>
                                <pic:cNvPicPr>
                                  <a:picLocks noChangeArrowheads="1" noChangeAspect="1"/>
                                </pic:cNvPicPr>
                              </pic:nvPicPr>
                              <pic:blipFill>
                                <a:blip r:embed="rId28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91" name="Picture"/>
                        <a:graphic>
                          <a:graphicData uri="http://schemas.openxmlformats.org/drawingml/2006/picture">
                            <pic:pic>
                              <pic:nvPicPr>
                                <pic:cNvPr descr="index_files/figure-docx/results-pred-diff-sps-3.png" id="292" name="Picture"/>
                                <pic:cNvPicPr>
                                  <a:picLocks noChangeArrowheads="1" noChangeAspect="1"/>
                                </pic:cNvPicPr>
                              </pic:nvPicPr>
                              <pic:blipFill>
                                <a:blip r:embed="rId29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specifically model P4,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Other model characteristics held constant at means or modal values.</w:t>
            </w:r>
          </w:p>
          <w:bookmarkEnd w:id="293"/>
        </w:tc>
      </w:tr>
    </w:tbl>
    <w:bookmarkEnd w:id="294"/>
    <w:bookmarkEnd w:id="295"/>
    <w:bookmarkStart w:id="305" w:name="sec-appendix-mi"/>
    <w:p>
      <w:pPr>
        <w:pStyle w:val="Heading2"/>
      </w:pPr>
      <w:r>
        <w:t xml:space="preserve">9 Appendix: Multiple Imputation</w:t>
      </w:r>
    </w:p>
    <w:tbl>
      <w:tblPr>
        <w:tblStyle w:val="Table"/>
        <w:tblW w:type="pct" w:w="5000"/>
        <w:tblLayout w:type="fixed"/>
        <w:tblLook w:firstRow="0" w:lastRow="0" w:firstColumn="0" w:lastColumn="0" w:noHBand="0" w:noVBand="0" w:val="0000"/>
      </w:tblPr>
      <w:tblGrid>
        <w:gridCol w:w="7920"/>
      </w:tblGrid>
      <w:tr>
        <w:tc>
          <w:tcPr/>
          <w:bookmarkStart w:id="296"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96"/>
        </w:tc>
      </w:tr>
    </w:tbl>
    <w:tbl>
      <w:tblPr>
        <w:tblStyle w:val="Table"/>
        <w:tblW w:type="pct" w:w="5000"/>
        <w:tblLayout w:type="fixed"/>
        <w:tblLook w:firstRow="0" w:lastRow="0" w:firstColumn="0" w:lastColumn="0" w:noHBand="0" w:noVBand="0" w:val="0000"/>
      </w:tblPr>
      <w:tblGrid>
        <w:gridCol w:w="7920"/>
      </w:tblGrid>
      <w:tr>
        <w:tc>
          <w:tcPr/>
          <w:bookmarkStart w:id="297"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97"/>
        </w:tc>
      </w:tr>
    </w:tbl>
    <w:tbl>
      <w:tblPr>
        <w:tblStyle w:val="Table"/>
        <w:tblW w:type="pct" w:w="5000"/>
        <w:tblLayout w:type="fixed"/>
        <w:tblLook w:firstRow="0" w:lastRow="0" w:firstColumn="0" w:lastColumn="0" w:noHBand="0" w:noVBand="0" w:val="0000"/>
      </w:tblPr>
      <w:tblGrid>
        <w:gridCol w:w="7920"/>
      </w:tblGrid>
      <w:tr>
        <w:tc>
          <w:tcPr/>
          <w:bookmarkStart w:id="298"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p/>
          <w:bookmarkEnd w:id="298"/>
        </w:tc>
      </w:tr>
    </w:tbl>
    <w:tbl>
      <w:tblPr>
        <w:tblStyle w:val="Table"/>
        <w:tblW w:type="pct" w:w="5000"/>
        <w:tblLayout w:type="fixed"/>
        <w:tblLook w:firstRow="0" w:lastRow="0" w:firstColumn="0" w:lastColumn="0" w:noHBand="0" w:noVBand="0" w:val="0000"/>
      </w:tblPr>
      <w:tblGrid>
        <w:gridCol w:w="7920"/>
      </w:tblGrid>
      <w:tr>
        <w:tc>
          <w:tcPr/>
          <w:bookmarkStart w:id="299"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p/>
          <w:bookmarkEnd w:id="299"/>
        </w:tc>
      </w:tr>
    </w:tbl>
    <w:tbl>
      <w:tblPr>
        <w:tblStyle w:val="Table"/>
        <w:tblW w:type="pct" w:w="5000"/>
        <w:tblLayout w:type="fixed"/>
        <w:tblLook w:firstRow="0" w:lastRow="0" w:firstColumn="0" w:lastColumn="0" w:noHBand="0" w:noVBand="0" w:val="0000"/>
      </w:tblPr>
      <w:tblGrid>
        <w:gridCol w:w="7920"/>
      </w:tblGrid>
      <w:tr>
        <w:tc>
          <w:tcPr/>
          <w:bookmarkStart w:id="300"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p/>
          <w:bookmarkEnd w:id="300"/>
        </w:tc>
      </w:tr>
    </w:tbl>
    <w:tbl>
      <w:tblPr>
        <w:tblStyle w:val="Table"/>
        <w:tblW w:type="pct" w:w="5000"/>
        <w:tblLayout w:type="fixed"/>
        <w:tblLook w:firstRow="0" w:lastRow="0" w:firstColumn="0" w:lastColumn="0" w:noHBand="0" w:noVBand="0" w:val="0000"/>
      </w:tblPr>
      <w:tblGrid>
        <w:gridCol w:w="7920"/>
      </w:tblGrid>
      <w:tr>
        <w:tc>
          <w:tcPr/>
          <w:bookmarkStart w:id="301"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p/>
          <w:bookmarkEnd w:id="301"/>
        </w:tc>
      </w:tr>
    </w:tbl>
    <w:tbl>
      <w:tblPr>
        <w:tblStyle w:val="Table"/>
        <w:tblW w:type="pct" w:w="5000"/>
        <w:tblLayout w:type="fixed"/>
        <w:tblLook w:firstRow="0" w:lastRow="0" w:firstColumn="0" w:lastColumn="0" w:noHBand="0" w:noVBand="0" w:val="0000"/>
      </w:tblPr>
      <w:tblGrid>
        <w:gridCol w:w="7920"/>
      </w:tblGrid>
      <w:tr>
        <w:tc>
          <w:tcPr/>
          <w:bookmarkStart w:id="302"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p/>
          <w:bookmarkEnd w:id="302"/>
        </w:tc>
      </w:tr>
    </w:tbl>
    <w:tbl>
      <w:tblPr>
        <w:tblStyle w:val="Table"/>
        <w:tblW w:type="pct" w:w="5000"/>
        <w:tblLayout w:type="fixed"/>
        <w:tblLook w:firstRow="0" w:lastRow="0" w:firstColumn="0" w:lastColumn="0" w:noHBand="0" w:noVBand="0" w:val="0000"/>
      </w:tblPr>
      <w:tblGrid>
        <w:gridCol w:w="7920"/>
      </w:tblGrid>
      <w:tr>
        <w:tc>
          <w:tcPr/>
          <w:bookmarkStart w:id="303"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p/>
          <w:bookmarkEnd w:id="303"/>
        </w:tc>
      </w:tr>
    </w:tbl>
    <w:tbl>
      <w:tblPr>
        <w:tblStyle w:val="Table"/>
        <w:tblW w:type="pct" w:w="5000"/>
        <w:tblLayout w:type="fixed"/>
        <w:tblLook w:firstRow="0" w:lastRow="0" w:firstColumn="0" w:lastColumn="0" w:noHBand="0" w:noVBand="0" w:val="0000"/>
      </w:tblPr>
      <w:tblGrid>
        <w:gridCol w:w="7920"/>
      </w:tblGrid>
      <w:tr>
        <w:tc>
          <w:tcPr/>
          <w:bookmarkStart w:id="304"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p/>
          <w:bookmarkEnd w:id="304"/>
        </w:tc>
      </w:tr>
    </w:tbl>
    <w:bookmarkEnd w:id="305"/>
    <w:bookmarkEnd w:id="3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253" Target="media/rId253.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61" Target="media/rId61.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9" Target="media/rId279.png" /><Relationship Type="http://schemas.openxmlformats.org/officeDocument/2006/relationships/image" Id="rId284" Target="media/rId284.png" /><Relationship Type="http://schemas.openxmlformats.org/officeDocument/2006/relationships/image" Id="rId287" Target="media/rId287.png" /><Relationship Type="http://schemas.openxmlformats.org/officeDocument/2006/relationships/image" Id="rId290" Target="media/rId290.png" /><Relationship Type="http://schemas.openxmlformats.org/officeDocument/2006/relationships/hyperlink" Id="rId165" Target="http://r-survey.r-forge.r-project.org/survey/" TargetMode="External" /><Relationship Type="http://schemas.openxmlformats.org/officeDocument/2006/relationships/hyperlink" Id="rId89" Target="https://data.europa.eu/doi/10.2760/800165" TargetMode="External" /><Relationship Type="http://schemas.openxmlformats.org/officeDocument/2006/relationships/hyperlink" Id="rId197" Target="https://dataverse.harvard.edu/citation?persistentId=doi:10.7910/DVN/K4OW35" TargetMode="External" /><Relationship Type="http://schemas.openxmlformats.org/officeDocument/2006/relationships/hyperlink" Id="rId201" Target="https://doi.org/10.1001/jamapediatrics.2021.2482" TargetMode="External" /><Relationship Type="http://schemas.openxmlformats.org/officeDocument/2006/relationships/hyperlink" Id="rId115" Target="https://doi.org/10.1002/hec.4275" TargetMode="External" /><Relationship Type="http://schemas.openxmlformats.org/officeDocument/2006/relationships/hyperlink" Id="rId99" Target="https://doi.org/10.1002/jcv2.12164" TargetMode="External" /><Relationship Type="http://schemas.openxmlformats.org/officeDocument/2006/relationships/hyperlink" Id="rId173" Target="https://doi.org/10.1002/pits.10062" TargetMode="External" /><Relationship Type="http://schemas.openxmlformats.org/officeDocument/2006/relationships/hyperlink" Id="rId121" Target="https://doi.org/10.1002/pits.20120" TargetMode="External" /><Relationship Type="http://schemas.openxmlformats.org/officeDocument/2006/relationships/hyperlink" Id="rId109" Target="https://doi.org/10.1002/rev3.3116" TargetMode="External" /><Relationship Type="http://schemas.openxmlformats.org/officeDocument/2006/relationships/hyperlink" Id="rId105" Target="https://doi.org/10.1007/978-3-031-63440-6_13" TargetMode="External" /><Relationship Type="http://schemas.openxmlformats.org/officeDocument/2006/relationships/hyperlink" Id="rId219" Target="https://doi.org/10.1007/978-981-10-0753-8_57-1" TargetMode="External" /><Relationship Type="http://schemas.openxmlformats.org/officeDocument/2006/relationships/hyperlink" Id="rId103" Target="https://doi.org/10.1007/s00148-020-00797-z" TargetMode="External" /><Relationship Type="http://schemas.openxmlformats.org/officeDocument/2006/relationships/hyperlink" Id="rId203" Target="https://doi.org/10.1007/s00787-021-01726-5" TargetMode="External" /><Relationship Type="http://schemas.openxmlformats.org/officeDocument/2006/relationships/hyperlink" Id="rId223" Target="https://doi.org/10.1007/s00787-022-01961-4" TargetMode="External" /><Relationship Type="http://schemas.openxmlformats.org/officeDocument/2006/relationships/hyperlink" Id="rId147" Target="https://doi.org/10.1007/s00787-022-02060-0" TargetMode="External" /><Relationship Type="http://schemas.openxmlformats.org/officeDocument/2006/relationships/hyperlink" Id="rId221" Target="https://doi.org/10.1007/s00787-023-02206-8" TargetMode="External" /><Relationship Type="http://schemas.openxmlformats.org/officeDocument/2006/relationships/hyperlink" Id="rId125" Target="https://doi.org/10.1007/s10597-020-00638-z" TargetMode="External" /><Relationship Type="http://schemas.openxmlformats.org/officeDocument/2006/relationships/hyperlink" Id="rId215" Target="https://doi.org/10.1007/s10902-019-00107-9" TargetMode="External" /><Relationship Type="http://schemas.openxmlformats.org/officeDocument/2006/relationships/hyperlink" Id="rId153" Target="https://doi.org/10.1007/s10964-015-0395-9" TargetMode="External" /><Relationship Type="http://schemas.openxmlformats.org/officeDocument/2006/relationships/hyperlink" Id="rId169" Target="https://doi.org/10.1007/s10964-020-01332-9" TargetMode="External" /><Relationship Type="http://schemas.openxmlformats.org/officeDocument/2006/relationships/hyperlink" Id="rId191" Target="https://doi.org/10.1007/s10964-021-01550-9" TargetMode="External" /><Relationship Type="http://schemas.openxmlformats.org/officeDocument/2006/relationships/hyperlink" Id="rId143" Target="https://doi.org/10.1007/s10964-022-01573-w" TargetMode="External" /><Relationship Type="http://schemas.openxmlformats.org/officeDocument/2006/relationships/hyperlink" Id="rId133" Target="https://doi.org/10.1007/s10964-022-01648-8" TargetMode="External" /><Relationship Type="http://schemas.openxmlformats.org/officeDocument/2006/relationships/hyperlink" Id="rId141" Target="https://doi.org/10.1007/s11136-016-1331-5" TargetMode="External" /><Relationship Type="http://schemas.openxmlformats.org/officeDocument/2006/relationships/hyperlink" Id="rId145" Target="https://doi.org/10.1007/s11150-024-09712-x" TargetMode="External" /><Relationship Type="http://schemas.openxmlformats.org/officeDocument/2006/relationships/hyperlink" Id="rId211" Target="https://doi.org/10.1007/s11205-013-0361-4" TargetMode="External" /><Relationship Type="http://schemas.openxmlformats.org/officeDocument/2006/relationships/hyperlink" Id="rId155" Target="https://doi.org/10.1007/s11205-013-0507-4" TargetMode="External" /><Relationship Type="http://schemas.openxmlformats.org/officeDocument/2006/relationships/hyperlink" Id="rId123" Target="https://doi.org/10.1007/s11205-024-03307-w" TargetMode="External" /><Relationship Type="http://schemas.openxmlformats.org/officeDocument/2006/relationships/hyperlink" Id="rId135" Target="https://doi.org/10.1007/s11205-025-03616-8" TargetMode="External" /><Relationship Type="http://schemas.openxmlformats.org/officeDocument/2006/relationships/hyperlink" Id="rId97" Target="https://doi.org/10.1007/s12232-024-00453-y" TargetMode="External" /><Relationship Type="http://schemas.openxmlformats.org/officeDocument/2006/relationships/hyperlink" Id="rId181" Target="https://doi.org/10.1016/S2215-0366(20)30570-8" TargetMode="External" /><Relationship Type="http://schemas.openxmlformats.org/officeDocument/2006/relationships/hyperlink" Id="rId111" Target="https://doi.org/10.1016/S2352-4642(21)00177-2" TargetMode="External" /><Relationship Type="http://schemas.openxmlformats.org/officeDocument/2006/relationships/hyperlink" Id="rId175" Target="https://doi.org/10.1016/j.copsyc.2023.101654" TargetMode="External" /><Relationship Type="http://schemas.openxmlformats.org/officeDocument/2006/relationships/hyperlink" Id="rId151" Target="https://doi.org/10.1016/j.socscimed.2023.115692" TargetMode="External" /><Relationship Type="http://schemas.openxmlformats.org/officeDocument/2006/relationships/hyperlink" Id="rId187" Target="https://doi.org/10.1023/A:1006907811502" TargetMode="External" /><Relationship Type="http://schemas.openxmlformats.org/officeDocument/2006/relationships/hyperlink" Id="rId167" Target="https://doi.org/10.1037/1089-2680.9.2.111" TargetMode="External" /><Relationship Type="http://schemas.openxmlformats.org/officeDocument/2006/relationships/hyperlink" Id="rId117" Target="https://doi.org/10.1037/amp0000838" TargetMode="External" /><Relationship Type="http://schemas.openxmlformats.org/officeDocument/2006/relationships/hyperlink" Id="rId113" Target="https://doi.org/10.1037/t06213-000" TargetMode="External" /><Relationship Type="http://schemas.openxmlformats.org/officeDocument/2006/relationships/hyperlink" Id="rId139" Target="https://doi.org/10.1038/s41539-025-00297-3" TargetMode="External" /><Relationship Type="http://schemas.openxmlformats.org/officeDocument/2006/relationships/hyperlink" Id="rId87" Target="https://doi.org/10.1080/03054985.2017.1329722" TargetMode="External" /><Relationship Type="http://schemas.openxmlformats.org/officeDocument/2006/relationships/hyperlink" Id="rId95" Target="https://doi.org/10.1080/03054985.2022.2124964" TargetMode="External" /><Relationship Type="http://schemas.openxmlformats.org/officeDocument/2006/relationships/hyperlink" Id="rId149" Target="https://doi.org/10.1080/13548506.2014.940354" TargetMode="External" /><Relationship Type="http://schemas.openxmlformats.org/officeDocument/2006/relationships/hyperlink" Id="rId131" Target="https://doi.org/10.1080/19452829.2016.1199540" TargetMode="External" /><Relationship Type="http://schemas.openxmlformats.org/officeDocument/2006/relationships/hyperlink" Id="rId179" Target="https://doi.org/10.1093/esr/jcad077" TargetMode="External" /><Relationship Type="http://schemas.openxmlformats.org/officeDocument/2006/relationships/hyperlink" Id="rId171" Target="https://doi.org/10.1098/rsos.211114" TargetMode="External" /><Relationship Type="http://schemas.openxmlformats.org/officeDocument/2006/relationships/hyperlink" Id="rId101" Target="https://doi.org/10.1111/1475-5890.12239" TargetMode="External" /><Relationship Type="http://schemas.openxmlformats.org/officeDocument/2006/relationships/hyperlink" Id="rId209" Target="https://doi.org/10.1111/camh.12501" TargetMode="External" /><Relationship Type="http://schemas.openxmlformats.org/officeDocument/2006/relationships/hyperlink" Id="rId213" Target="https://doi.org/10.1111/jcpp.13537" TargetMode="External" /><Relationship Type="http://schemas.openxmlformats.org/officeDocument/2006/relationships/hyperlink" Id="rId127" Target="https://doi.org/10.1136/archdischild-2020-320222" TargetMode="External" /><Relationship Type="http://schemas.openxmlformats.org/officeDocument/2006/relationships/hyperlink" Id="rId161" Target="https://doi.org/10.1136/jech-2021-216690" TargetMode="External" /><Relationship Type="http://schemas.openxmlformats.org/officeDocument/2006/relationships/hyperlink" Id="rId177" Target="https://doi.org/10.1177/104346398010002001" TargetMode="External" /><Relationship Type="http://schemas.openxmlformats.org/officeDocument/2006/relationships/hyperlink" Id="rId157" Target="https://doi.org/10.1186/s12888-020-03012-1" TargetMode="External" /><Relationship Type="http://schemas.openxmlformats.org/officeDocument/2006/relationships/hyperlink" Id="rId159" Target="https://doi.org/10.1186/s12889-018-5235-x" TargetMode="External" /><Relationship Type="http://schemas.openxmlformats.org/officeDocument/2006/relationships/hyperlink" Id="rId207" Target="https://doi.org/10.1186/s12955-020-01423-y" TargetMode="External" /><Relationship Type="http://schemas.openxmlformats.org/officeDocument/2006/relationships/hyperlink" Id="rId107" Target="https://doi.org/10.1186/s13104-016-2278-x" TargetMode="External" /><Relationship Type="http://schemas.openxmlformats.org/officeDocument/2006/relationships/hyperlink" Id="rId85" Target="https://doi.org/10.1186/s40359-024-01596-x" TargetMode="External" /><Relationship Type="http://schemas.openxmlformats.org/officeDocument/2006/relationships/hyperlink" Id="rId119" Target="https://doi.org/10.1257/jep.22.2.53" TargetMode="External" /><Relationship Type="http://schemas.openxmlformats.org/officeDocument/2006/relationships/hyperlink" Id="rId193" Target="https://doi.org/10.1371/journal.pone.0244419" TargetMode="External" /><Relationship Type="http://schemas.openxmlformats.org/officeDocument/2006/relationships/hyperlink" Id="rId195" Target="https://doi.org/10.1515/bejeap-2021-0394" TargetMode="External" /><Relationship Type="http://schemas.openxmlformats.org/officeDocument/2006/relationships/hyperlink" Id="rId163" Target="https://doi.org/10.32614/CRAN.package.mitools" TargetMode="External" /><Relationship Type="http://schemas.openxmlformats.org/officeDocument/2006/relationships/hyperlink" Id="rId137" Target="https://doi.org/10.3389/fpsyg.2019.02555" TargetMode="External" /><Relationship Type="http://schemas.openxmlformats.org/officeDocument/2006/relationships/hyperlink" Id="rId189" Target="https://doi.org/10.3390/ijerph19031132" TargetMode="External" /><Relationship Type="http://schemas.openxmlformats.org/officeDocument/2006/relationships/hyperlink" Id="rId91" Target="https://doi.org/10.5255/UKDA-SN-9000-4" TargetMode="External" /><Relationship Type="http://schemas.openxmlformats.org/officeDocument/2006/relationships/hyperlink" Id="rId93" Target="https://doi.org/10.5255/UKDA-SN-9158-2" TargetMode="External" /><Relationship Type="http://schemas.openxmlformats.org/officeDocument/2006/relationships/hyperlink" Id="rId129" Target="https://doi.org/10.5402/2012/501589" TargetMode="External" /><Relationship Type="http://schemas.openxmlformats.org/officeDocument/2006/relationships/hyperlink" Id="rId217" Target="https://github.com/amices/mice" TargetMode="External" /><Relationship Type="http://schemas.openxmlformats.org/officeDocument/2006/relationships/hyperlink" Id="rId205" Target="https://personality-project.org/r/psych/" TargetMode="External" /><Relationship Type="http://schemas.openxmlformats.org/officeDocument/2006/relationships/hyperlink" Id="rId199" Target="https://www.R-project.org/" TargetMode="External" /><Relationship Type="http://schemas.openxmlformats.org/officeDocument/2006/relationships/hyperlink" Id="rId185" Target="https://www.ons.gov.uk/peoplepopulationandcommunity/wellbeing/bulletins/measuringnationalwellbeing/latest#personal-well-being-in-the-uk" TargetMode="External" /><Relationship Type="http://schemas.openxmlformats.org/officeDocument/2006/relationships/hyperlink" Id="rId183" Target="https://www.ons.gov.uk/peoplepopulationandcommunity/wellbeing/methodologies/personalwellbeingsurveyuserguide" TargetMode="External" /></Relationships>
</file>

<file path=word/_rels/footnotes.xml.rels><?xml version="1.0" encoding="UTF-8"?><Relationships xmlns="http://schemas.openxmlformats.org/package/2006/relationships"><Relationship Type="http://schemas.openxmlformats.org/officeDocument/2006/relationships/hyperlink" Id="rId165" Target="http://r-survey.r-forge.r-project.org/survey/" TargetMode="External" /><Relationship Type="http://schemas.openxmlformats.org/officeDocument/2006/relationships/hyperlink" Id="rId89" Target="https://data.europa.eu/doi/10.2760/800165" TargetMode="External" /><Relationship Type="http://schemas.openxmlformats.org/officeDocument/2006/relationships/hyperlink" Id="rId197" Target="https://dataverse.harvard.edu/citation?persistentId=doi:10.7910/DVN/K4OW35" TargetMode="External" /><Relationship Type="http://schemas.openxmlformats.org/officeDocument/2006/relationships/hyperlink" Id="rId201" Target="https://doi.org/10.1001/jamapediatrics.2021.2482" TargetMode="External" /><Relationship Type="http://schemas.openxmlformats.org/officeDocument/2006/relationships/hyperlink" Id="rId115" Target="https://doi.org/10.1002/hec.4275" TargetMode="External" /><Relationship Type="http://schemas.openxmlformats.org/officeDocument/2006/relationships/hyperlink" Id="rId99" Target="https://doi.org/10.1002/jcv2.12164" TargetMode="External" /><Relationship Type="http://schemas.openxmlformats.org/officeDocument/2006/relationships/hyperlink" Id="rId173" Target="https://doi.org/10.1002/pits.10062" TargetMode="External" /><Relationship Type="http://schemas.openxmlformats.org/officeDocument/2006/relationships/hyperlink" Id="rId121" Target="https://doi.org/10.1002/pits.20120" TargetMode="External" /><Relationship Type="http://schemas.openxmlformats.org/officeDocument/2006/relationships/hyperlink" Id="rId109" Target="https://doi.org/10.1002/rev3.3116" TargetMode="External" /><Relationship Type="http://schemas.openxmlformats.org/officeDocument/2006/relationships/hyperlink" Id="rId105" Target="https://doi.org/10.1007/978-3-031-63440-6_13" TargetMode="External" /><Relationship Type="http://schemas.openxmlformats.org/officeDocument/2006/relationships/hyperlink" Id="rId219" Target="https://doi.org/10.1007/978-981-10-0753-8_57-1" TargetMode="External" /><Relationship Type="http://schemas.openxmlformats.org/officeDocument/2006/relationships/hyperlink" Id="rId103" Target="https://doi.org/10.1007/s00148-020-00797-z" TargetMode="External" /><Relationship Type="http://schemas.openxmlformats.org/officeDocument/2006/relationships/hyperlink" Id="rId203" Target="https://doi.org/10.1007/s00787-021-01726-5" TargetMode="External" /><Relationship Type="http://schemas.openxmlformats.org/officeDocument/2006/relationships/hyperlink" Id="rId223" Target="https://doi.org/10.1007/s00787-022-01961-4" TargetMode="External" /><Relationship Type="http://schemas.openxmlformats.org/officeDocument/2006/relationships/hyperlink" Id="rId147" Target="https://doi.org/10.1007/s00787-022-02060-0" TargetMode="External" /><Relationship Type="http://schemas.openxmlformats.org/officeDocument/2006/relationships/hyperlink" Id="rId221" Target="https://doi.org/10.1007/s00787-023-02206-8" TargetMode="External" /><Relationship Type="http://schemas.openxmlformats.org/officeDocument/2006/relationships/hyperlink" Id="rId125" Target="https://doi.org/10.1007/s10597-020-00638-z" TargetMode="External" /><Relationship Type="http://schemas.openxmlformats.org/officeDocument/2006/relationships/hyperlink" Id="rId215" Target="https://doi.org/10.1007/s10902-019-00107-9" TargetMode="External" /><Relationship Type="http://schemas.openxmlformats.org/officeDocument/2006/relationships/hyperlink" Id="rId153" Target="https://doi.org/10.1007/s10964-015-0395-9" TargetMode="External" /><Relationship Type="http://schemas.openxmlformats.org/officeDocument/2006/relationships/hyperlink" Id="rId169" Target="https://doi.org/10.1007/s10964-020-01332-9" TargetMode="External" /><Relationship Type="http://schemas.openxmlformats.org/officeDocument/2006/relationships/hyperlink" Id="rId191" Target="https://doi.org/10.1007/s10964-021-01550-9" TargetMode="External" /><Relationship Type="http://schemas.openxmlformats.org/officeDocument/2006/relationships/hyperlink" Id="rId143" Target="https://doi.org/10.1007/s10964-022-01573-w" TargetMode="External" /><Relationship Type="http://schemas.openxmlformats.org/officeDocument/2006/relationships/hyperlink" Id="rId133" Target="https://doi.org/10.1007/s10964-022-01648-8" TargetMode="External" /><Relationship Type="http://schemas.openxmlformats.org/officeDocument/2006/relationships/hyperlink" Id="rId141" Target="https://doi.org/10.1007/s11136-016-1331-5" TargetMode="External" /><Relationship Type="http://schemas.openxmlformats.org/officeDocument/2006/relationships/hyperlink" Id="rId145" Target="https://doi.org/10.1007/s11150-024-09712-x" TargetMode="External" /><Relationship Type="http://schemas.openxmlformats.org/officeDocument/2006/relationships/hyperlink" Id="rId211" Target="https://doi.org/10.1007/s11205-013-0361-4" TargetMode="External" /><Relationship Type="http://schemas.openxmlformats.org/officeDocument/2006/relationships/hyperlink" Id="rId155" Target="https://doi.org/10.1007/s11205-013-0507-4" TargetMode="External" /><Relationship Type="http://schemas.openxmlformats.org/officeDocument/2006/relationships/hyperlink" Id="rId123" Target="https://doi.org/10.1007/s11205-024-03307-w" TargetMode="External" /><Relationship Type="http://schemas.openxmlformats.org/officeDocument/2006/relationships/hyperlink" Id="rId135" Target="https://doi.org/10.1007/s11205-025-03616-8" TargetMode="External" /><Relationship Type="http://schemas.openxmlformats.org/officeDocument/2006/relationships/hyperlink" Id="rId97" Target="https://doi.org/10.1007/s12232-024-00453-y" TargetMode="External" /><Relationship Type="http://schemas.openxmlformats.org/officeDocument/2006/relationships/hyperlink" Id="rId181" Target="https://doi.org/10.1016/S2215-0366(20)30570-8" TargetMode="External" /><Relationship Type="http://schemas.openxmlformats.org/officeDocument/2006/relationships/hyperlink" Id="rId111" Target="https://doi.org/10.1016/S2352-4642(21)00177-2" TargetMode="External" /><Relationship Type="http://schemas.openxmlformats.org/officeDocument/2006/relationships/hyperlink" Id="rId175" Target="https://doi.org/10.1016/j.copsyc.2023.101654" TargetMode="External" /><Relationship Type="http://schemas.openxmlformats.org/officeDocument/2006/relationships/hyperlink" Id="rId151" Target="https://doi.org/10.1016/j.socscimed.2023.115692" TargetMode="External" /><Relationship Type="http://schemas.openxmlformats.org/officeDocument/2006/relationships/hyperlink" Id="rId187" Target="https://doi.org/10.1023/A:1006907811502" TargetMode="External" /><Relationship Type="http://schemas.openxmlformats.org/officeDocument/2006/relationships/hyperlink" Id="rId167" Target="https://doi.org/10.1037/1089-2680.9.2.111" TargetMode="External" /><Relationship Type="http://schemas.openxmlformats.org/officeDocument/2006/relationships/hyperlink" Id="rId117" Target="https://doi.org/10.1037/amp0000838" TargetMode="External" /><Relationship Type="http://schemas.openxmlformats.org/officeDocument/2006/relationships/hyperlink" Id="rId113" Target="https://doi.org/10.1037/t06213-000" TargetMode="External" /><Relationship Type="http://schemas.openxmlformats.org/officeDocument/2006/relationships/hyperlink" Id="rId139" Target="https://doi.org/10.1038/s41539-025-00297-3" TargetMode="External" /><Relationship Type="http://schemas.openxmlformats.org/officeDocument/2006/relationships/hyperlink" Id="rId87" Target="https://doi.org/10.1080/03054985.2017.1329722" TargetMode="External" /><Relationship Type="http://schemas.openxmlformats.org/officeDocument/2006/relationships/hyperlink" Id="rId95" Target="https://doi.org/10.1080/03054985.2022.2124964" TargetMode="External" /><Relationship Type="http://schemas.openxmlformats.org/officeDocument/2006/relationships/hyperlink" Id="rId149" Target="https://doi.org/10.1080/13548506.2014.940354" TargetMode="External" /><Relationship Type="http://schemas.openxmlformats.org/officeDocument/2006/relationships/hyperlink" Id="rId131" Target="https://doi.org/10.1080/19452829.2016.1199540" TargetMode="External" /><Relationship Type="http://schemas.openxmlformats.org/officeDocument/2006/relationships/hyperlink" Id="rId179" Target="https://doi.org/10.1093/esr/jcad077" TargetMode="External" /><Relationship Type="http://schemas.openxmlformats.org/officeDocument/2006/relationships/hyperlink" Id="rId171" Target="https://doi.org/10.1098/rsos.211114" TargetMode="External" /><Relationship Type="http://schemas.openxmlformats.org/officeDocument/2006/relationships/hyperlink" Id="rId101" Target="https://doi.org/10.1111/1475-5890.12239" TargetMode="External" /><Relationship Type="http://schemas.openxmlformats.org/officeDocument/2006/relationships/hyperlink" Id="rId209" Target="https://doi.org/10.1111/camh.12501" TargetMode="External" /><Relationship Type="http://schemas.openxmlformats.org/officeDocument/2006/relationships/hyperlink" Id="rId213" Target="https://doi.org/10.1111/jcpp.13537" TargetMode="External" /><Relationship Type="http://schemas.openxmlformats.org/officeDocument/2006/relationships/hyperlink" Id="rId127" Target="https://doi.org/10.1136/archdischild-2020-320222" TargetMode="External" /><Relationship Type="http://schemas.openxmlformats.org/officeDocument/2006/relationships/hyperlink" Id="rId161" Target="https://doi.org/10.1136/jech-2021-216690" TargetMode="External" /><Relationship Type="http://schemas.openxmlformats.org/officeDocument/2006/relationships/hyperlink" Id="rId177" Target="https://doi.org/10.1177/104346398010002001" TargetMode="External" /><Relationship Type="http://schemas.openxmlformats.org/officeDocument/2006/relationships/hyperlink" Id="rId157" Target="https://doi.org/10.1186/s12888-020-03012-1" TargetMode="External" /><Relationship Type="http://schemas.openxmlformats.org/officeDocument/2006/relationships/hyperlink" Id="rId159" Target="https://doi.org/10.1186/s12889-018-5235-x" TargetMode="External" /><Relationship Type="http://schemas.openxmlformats.org/officeDocument/2006/relationships/hyperlink" Id="rId207" Target="https://doi.org/10.1186/s12955-020-01423-y" TargetMode="External" /><Relationship Type="http://schemas.openxmlformats.org/officeDocument/2006/relationships/hyperlink" Id="rId107" Target="https://doi.org/10.1186/s13104-016-2278-x" TargetMode="External" /><Relationship Type="http://schemas.openxmlformats.org/officeDocument/2006/relationships/hyperlink" Id="rId85" Target="https://doi.org/10.1186/s40359-024-01596-x" TargetMode="External" /><Relationship Type="http://schemas.openxmlformats.org/officeDocument/2006/relationships/hyperlink" Id="rId119" Target="https://doi.org/10.1257/jep.22.2.53" TargetMode="External" /><Relationship Type="http://schemas.openxmlformats.org/officeDocument/2006/relationships/hyperlink" Id="rId193" Target="https://doi.org/10.1371/journal.pone.0244419" TargetMode="External" /><Relationship Type="http://schemas.openxmlformats.org/officeDocument/2006/relationships/hyperlink" Id="rId195" Target="https://doi.org/10.1515/bejeap-2021-0394" TargetMode="External" /><Relationship Type="http://schemas.openxmlformats.org/officeDocument/2006/relationships/hyperlink" Id="rId163" Target="https://doi.org/10.32614/CRAN.package.mitools" TargetMode="External" /><Relationship Type="http://schemas.openxmlformats.org/officeDocument/2006/relationships/hyperlink" Id="rId137" Target="https://doi.org/10.3389/fpsyg.2019.02555" TargetMode="External" /><Relationship Type="http://schemas.openxmlformats.org/officeDocument/2006/relationships/hyperlink" Id="rId189" Target="https://doi.org/10.3390/ijerph19031132" TargetMode="External" /><Relationship Type="http://schemas.openxmlformats.org/officeDocument/2006/relationships/hyperlink" Id="rId91" Target="https://doi.org/10.5255/UKDA-SN-9000-4" TargetMode="External" /><Relationship Type="http://schemas.openxmlformats.org/officeDocument/2006/relationships/hyperlink" Id="rId93" Target="https://doi.org/10.5255/UKDA-SN-9158-2" TargetMode="External" /><Relationship Type="http://schemas.openxmlformats.org/officeDocument/2006/relationships/hyperlink" Id="rId129" Target="https://doi.org/10.5402/2012/501589" TargetMode="External" /><Relationship Type="http://schemas.openxmlformats.org/officeDocument/2006/relationships/hyperlink" Id="rId217" Target="https://github.com/amices/mice" TargetMode="External" /><Relationship Type="http://schemas.openxmlformats.org/officeDocument/2006/relationships/hyperlink" Id="rId205" Target="https://personality-project.org/r/psych/" TargetMode="External" /><Relationship Type="http://schemas.openxmlformats.org/officeDocument/2006/relationships/hyperlink" Id="rId199" Target="https://www.R-project.org/" TargetMode="External" /><Relationship Type="http://schemas.openxmlformats.org/officeDocument/2006/relationships/hyperlink" Id="rId185" Target="https://www.ons.gov.uk/peoplepopulationandcommunity/wellbeing/bulletins/measuringnationalwellbeing/latest#personal-well-being-in-the-uk" TargetMode="External" /><Relationship Type="http://schemas.openxmlformats.org/officeDocument/2006/relationships/hyperlink" Id="rId183" Target="https://www.ons.gov.uk/peoplepopulationandcommunity/wellbeing/methodologies/personalwellbeingsurveyuser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2025-08-06T16:41:13Z</dcterms:created>
  <dcterms:modified xsi:type="dcterms:W3CDTF">2025-08-06T16:41:13Z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2025-08-07</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