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33.png" ContentType="image/png"/>
  <Override PartName="/word/media/rId28.png" ContentType="image/png"/>
  <Override PartName="/word/media/rId112.png" ContentType="image/png"/>
  <Override PartName="/word/media/rId115.png" ContentType="image/png"/>
  <Override PartName="/word/media/rId118.png" ContentType="image/png"/>
  <Override PartName="/word/media/rId122.png" ContentType="image/png"/>
  <Override PartName="/word/media/rId64.png" ContentType="image/png"/>
  <Override PartName="/word/media/rId67.png" ContentType="image/png"/>
  <Override PartName="/word/media/rId70.png" ContentType="image/png"/>
  <Override PartName="/word/media/rId54.png" ContentType="image/png"/>
  <Override PartName="/word/media/rId57.png" ContentType="image/png"/>
  <Override PartName="/word/media/rId60.png" ContentType="image/png"/>
  <Override PartName="/word/media/rId74.png" ContentType="image/png"/>
  <Override PartName="/word/media/rId77.png" ContentType="image/png"/>
  <Override PartName="/word/media/rId80.png" ContentType="image/png"/>
  <Override PartName="/word/media/rId86.png" ContentType="image/png"/>
  <Override PartName="/word/media/rId90.png" ContentType="image/png"/>
  <Override PartName="/word/media/rId93.png" ContentType="image/png"/>
  <Override PartName="/word/media/rId96.png" ContentType="image/png"/>
  <Override PartName="/word/media/rId100.png" ContentType="image/png"/>
  <Override PartName="/word/media/rId103.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 people’s subjective wellbeing in the wake of the COVID-19 pandemic: evidence from a representative cohort study in England</w:t>
      </w:r>
    </w:p>
    <w:p>
      <w:pPr>
        <w:pStyle w:val="Author"/>
      </w:pPr>
      <w:r>
        <w:t xml:space="preserve">Jake Anders</w:t>
      </w:r>
    </w:p>
    <w:p>
      <w:pPr>
        <w:pStyle w:val="Author"/>
      </w:pPr>
      <w:r>
        <w:t xml:space="preserve">Erica Holt-White</w:t>
      </w:r>
    </w:p>
    <w:p>
      <w:pPr>
        <w:pStyle w:val="Date"/>
      </w:pPr>
      <w:r>
        <w:t xml:space="preserve">2024-09-30</w:t>
      </w:r>
    </w:p>
    <w:p>
      <w:pPr>
        <w:pStyle w:val="AbstractTitle"/>
      </w:pPr>
      <w:r>
        <w:t xml:space="preserve">Abstract</w:t>
      </w:r>
    </w:p>
    <w:p>
      <w:pPr>
        <w:pStyle w:val="Abstract"/>
      </w:pPr>
      <w:r>
        <w:t xml:space="preserve">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et al., 2024b)</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2024)</w:t>
      </w:r>
      <w:r>
        <w:t xml:space="preserve"> </w:t>
      </w:r>
      <w:r>
        <w:t xml:space="preserve">interrupted both pupils’ learning</w:t>
      </w:r>
      <w:r>
        <w:t xml:space="preserve"> </w:t>
      </w:r>
      <w:r>
        <w:t xml:space="preserve">(Jakubowski et al., 2024)</w:t>
      </w:r>
      <w:r>
        <w:t xml:space="preserve"> </w:t>
      </w:r>
      <w:r>
        <w:t xml:space="preserve">and their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2023;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the way that wellbeing increased and decreased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“a longitudinal deterioration in symptoms for different mental health outcomes especially for adolescents and young people”</w:t>
      </w:r>
      <w:r>
        <w:t xml:space="preserve">.</w:t>
      </w:r>
    </w:p>
    <w:p>
      <w:pPr>
        <w:pStyle w:val="BodyText"/>
      </w:pPr>
      <w:r>
        <w:t xml:space="preserve">Existing analyses suggest that effects of the disruption were unequal, often exacerbating existing demographic inequalities in society. Previous studies from across the world have highlighted inequalities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ethnicity</w:t>
      </w:r>
      <w:r>
        <w:t xml:space="preserve"> </w:t>
      </w:r>
      <w:r>
        <w:t xml:space="preserve">(e.g., Proto &amp; Quintana-Domeque, 2021)</w:t>
      </w:r>
      <w:r>
        <w:t xml:space="preserve">, and intersections of these characteristics. There is also evidence that older adolescents were particularly affected</w:t>
      </w:r>
      <w:r>
        <w:t xml:space="preserve"> </w:t>
      </w:r>
      <w:r>
        <w:t xml:space="preserve">(Wolf &amp; Schmitz, 2024)</w:t>
      </w:r>
      <w:r>
        <w:t xml:space="preserve">, perhaps as these are such formative years in terms of social relationships and critical years in terms of disruption to education affecting subsequent educational and school-to-work transitions.</w:t>
      </w:r>
    </w:p>
    <w:p>
      <w:pPr>
        <w:pStyle w:val="BodyText"/>
      </w:pPr>
      <w:r>
        <w:t xml:space="preserve">A range of studies have also drawn attention to the importance of variation in experiences and support during the pandemic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and its restrictions are likely to have exacerbated the prevalence of adverse life events that previous studies have shown affect wellbeing</w:t>
      </w:r>
      <w:r>
        <w:t xml:space="preserve"> </w:t>
      </w:r>
      <w:r>
        <w:t xml:space="preserve">(Cleland et al., 2016)</w:t>
      </w:r>
      <w:r>
        <w:t xml:space="preserve">. On the other side of the ledger, the importance of social support has been identified has a potential buffer to negative impacts</w:t>
      </w:r>
      <w:r>
        <w:t xml:space="preserve"> </w:t>
      </w:r>
      <w:r>
        <w:t xml:space="preserve">(Racine et al., 2021)</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of course, important in their own right, we should be especially concerned if the impacts of the pandemic are continuing to affect young people’s lives, including their subjective wellbeing, now that restrictions have subsided and life is back to</w:t>
      </w:r>
      <w:r>
        <w:t xml:space="preserve"> </w:t>
      </w:r>
      <w:r>
        <w:t xml:space="preserve">‘normal’</w:t>
      </w:r>
      <w:r>
        <w:t xml:space="preserve">. Concern was expressed from early in the pandemic that negative effects of the pandemic on wellbeing would persist beyond the end of restrictions</w:t>
      </w:r>
      <w:r>
        <w:t xml:space="preserve"> </w:t>
      </w:r>
      <w:r>
        <w:t xml:space="preserve">(Sonuga-Barke &amp; Fearon, 2021)</w:t>
      </w:r>
      <w:r>
        <w:t xml:space="preserve">, something that emerging evidence from the general population suggests may be being borne out</w:t>
      </w:r>
      <w:r>
        <w:t xml:space="preserve"> </w:t>
      </w:r>
      <w:r>
        <w:t xml:space="preserve">(Quintana-Domeque &amp; Proto, 2022)</w:t>
      </w:r>
      <w:r>
        <w:t xml:space="preserve">.</w:t>
      </w:r>
    </w:p>
    <w:p>
      <w:pPr>
        <w:pStyle w:val="BodyText"/>
      </w:pPr>
      <w:r>
        <w:t xml:space="preserve">Informed by the findings of these studies, we seek to provide new evidence regarding ongoing differences in young people’s wellbeing post-pandemic, including those driven by their demographic characteristics, the role of adverse life experiences during the pandemic, and the potential buffering role of social support. In doing so, we are guided by sociological theoretical models of stress processes in shaping wellbeing</w:t>
      </w:r>
      <w:r>
        <w:t xml:space="preserve"> </w:t>
      </w:r>
      <w:r>
        <w:t xml:space="preserve">(Pearlin, 1989)</w:t>
      </w:r>
      <w:r>
        <w:t xml:space="preserve">, distinguishing between long-term stressors such as those linked with socioeconomic and demographic characteristics, and more acute ones such as those presented by the disruption of the pandemic and specific events during its course. We also seek to provide new evidence to illuminate the relevance of young people’s own perceptions of the ongoing impacts of the pandemic for their mental wellbeing through quantifying the extent to which young people’s self-reports of such impacts are associated with their post-pandemic subjective wellbeing.</w:t>
      </w:r>
    </w:p>
    <w:p>
      <w:pPr>
        <w:pStyle w:val="BodyText"/>
      </w:pPr>
      <w:r>
        <w:t xml:space="preserve">In particular, our research aims are to:</w:t>
      </w:r>
      <w:r>
        <w:t xml:space="preserve"> </w:t>
      </w:r>
      <w:r>
        <w:t xml:space="preserve">1. estimate differences in post-pandemic wellbeing among this cohort by demographic characteristics;</w:t>
      </w:r>
      <w:r>
        <w:t xml:space="preserve"> </w:t>
      </w:r>
      <w:r>
        <w:t xml:space="preserve">2. validate and quantify young people’s own perceptions of the impact of the pandemic on their wellbeing and;</w:t>
      </w:r>
      <w:r>
        <w:t xml:space="preserve"> </w:t>
      </w:r>
      <w:r>
        <w:t xml:space="preserve">3. consider the role of adverse experiences during the pandemic — and how they may interact with existing predictors of wellbeing — in explaining differences in post-pandemic wellbeing.</w:t>
      </w:r>
    </w:p>
    <w:p>
      <w:pPr>
        <w:pStyle w:val="BodyText"/>
      </w:pPr>
      <w:r>
        <w:t xml:space="preserve">To achieve these aims,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explore young people’s subjective wellbeing since the end of most restrictions linked to the pandemic. COSMO has collected data on wellbeing at two annual, post-pandemic surveys (to date), along with rich data on demographics, social resources and experiences during the pandemic, allowing us to explore post-pandemic patterns in wellbeing and how they are shaped by these factors.</w:t>
      </w:r>
    </w:p>
    <w:p>
      <w:pPr>
        <w:pStyle w:val="BodyText"/>
      </w:pPr>
      <w:r>
        <w:t xml:space="preserve">The paper proceeds as follows. In</w:t>
      </w:r>
      <w:r>
        <w:t xml:space="preserve"> </w:t>
      </w:r>
      <w:hyperlink w:anchor="sec-data">
        <w:r>
          <w:rPr>
            <w:rStyle w:val="Hyperlink"/>
          </w:rPr>
          <w:t xml:space="preserve">Section 2</w:t>
        </w:r>
      </w:hyperlink>
      <w:r>
        <w:t xml:space="preserve">, we describe the data that we use in more detail, the steps we take to prepare it for analysis, and conduct descriptive analyses and visualisation to provide initial evidence on our research aims. In</w:t>
      </w:r>
      <w:r>
        <w:t xml:space="preserve"> </w:t>
      </w:r>
      <w:hyperlink w:anchor="sec-regression">
        <w:r>
          <w:rPr>
            <w:rStyle w:val="Hyperlink"/>
          </w:rPr>
          <w:t xml:space="preserve">Section 3</w:t>
        </w:r>
      </w:hyperlink>
      <w:r>
        <w:t xml:space="preserve">, we describe our use of regression modelling to support our analyses, before presenting results of this modelling in</w:t>
      </w:r>
      <w:r>
        <w:t xml:space="preserve"> </w:t>
      </w:r>
      <w:hyperlink w:anchor="sec-results">
        <w:r>
          <w:rPr>
            <w:rStyle w:val="Hyperlink"/>
          </w:rPr>
          <w:t xml:space="preserve">Section 4</w:t>
        </w:r>
      </w:hyperlink>
      <w:r>
        <w:t xml:space="preserve">. Finally, in</w:t>
      </w:r>
      <w:r>
        <w:t xml:space="preserve"> </w:t>
      </w:r>
      <w:hyperlink w:anchor="sec-conclusions">
        <w:r>
          <w:rPr>
            <w:rStyle w:val="Hyperlink"/>
          </w:rPr>
          <w:t xml:space="preserve">Section 5</w:t>
        </w:r>
      </w:hyperlink>
      <w:r>
        <w:t xml:space="preserve">, we conclude with a discussion of our findings and their implications for policy and practice.</w:t>
      </w:r>
    </w:p>
    <w:bookmarkEnd w:id="22"/>
    <w:bookmarkStart w:id="48" w:name="sec-data"/>
    <w:p>
      <w:pPr>
        <w:pStyle w:val="Heading2"/>
      </w:pPr>
      <w:r>
        <w:t xml:space="preserve">2 Data and descriptive analyses</w:t>
      </w:r>
    </w:p>
    <w:p>
      <w:pPr>
        <w:pStyle w:val="FirstParagraph"/>
      </w:pPr>
      <w:r>
        <w:t xml:space="preserve">This study uses data from the COVID Social Mobility &amp; Opportunities study (COSMO). This longitudinal cohort study recruited a representative sample of young people (and their parents) who were in Year 10 (i.e., aged 14-15) at the onset of the pandemic in March 2020. We use data from those who participated at both waves 1</w:t>
      </w:r>
      <w:r>
        <w:t xml:space="preserve"> </w:t>
      </w:r>
      <w:r>
        <w:t xml:space="preserve">(Anders et al., 2024a)</w:t>
      </w:r>
      <w:r>
        <w:t xml:space="preserve">, which was carried out between October 2021 and March 2022 (while participants were aged 16-17), and 2</w:t>
      </w:r>
      <w:r>
        <w:t xml:space="preserve"> </w:t>
      </w:r>
      <w:r>
        <w:t xml:space="preserve">(Anders et al., 2024b)</w:t>
      </w:r>
      <w:r>
        <w:t xml:space="preserve">, which was carried out between October 2022 and March 2023 (while participants were aged 17-18). In both cases the majority of interviews are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aiming to allow for larger than proportional samples of those smaller groups to improve statistical power when exploring inequalities between such groups. Furthermore, there was initial non-response and attrition between the two waves. As such, it is important to take into account the deliberate and modelled disproportionalities in our sample, as well as the implications of the clustering and stratification for statistical inference; we seek to take these features into account in all our analyses using R’s survey package</w:t>
      </w:r>
      <w:r>
        <w:t xml:space="preserve"> </w:t>
      </w:r>
      <w:r>
        <w:t xml:space="preserve">(Lumley et al., 2024)</w:t>
      </w:r>
      <w:r>
        <w:t xml:space="preserve"> </w:t>
      </w:r>
      <w:r>
        <w:t xml:space="preserve">with the study’s provided clustering and stratification variables, and design and non-response weights</w:t>
      </w:r>
      <w:r>
        <w:t xml:space="preserve"> </w:t>
      </w:r>
      <w:r>
        <w:t xml:space="preserve">(Adali et al., 2022, 2023)</w:t>
      </w:r>
      <w:r>
        <w:t xml:space="preserve">.</w:t>
      </w:r>
    </w:p>
    <w:p>
      <w:pPr>
        <w:pStyle w:val="BodyText"/>
      </w:pPr>
      <w:r>
        <w:t xml:space="preserve">To ensure a consistent sample across analyses, we restrict the sample to those who have valid data on the key variables we will be using in our analyses. This includes the primary outcome variable of self-reported wellbeing score, as well as the key predictors and demographic variables of which we make use. However, we are mindful of the potential implications of sample selection caused by complete case analysis, so we robustness check our results to ensure that our findings are not driven by the exclusion of those with missing data in</w:t>
      </w:r>
      <w:r>
        <w:t xml:space="preserve"> </w:t>
      </w:r>
      <w:hyperlink w:anchor="sec-appendix-mi">
        <w:r>
          <w:rPr>
            <w:rStyle w:val="Hyperlink"/>
          </w:rPr>
          <w:t xml:space="preserve">Section 7</w:t>
        </w:r>
      </w:hyperlink>
      <w:r>
        <w:t xml:space="preserve">, re-running our core analyses having only restricted the sample based on the primary outcome (wellbeing score) and the main predictors (impact of pandemic on mental health and adverse life events reporting) and multiply imputed across 10 datasets all other predictors using a highly flexible classification and regression tree approach</w:t>
      </w:r>
      <w:r>
        <w:t xml:space="preserve"> </w:t>
      </w:r>
      <w:r>
        <w:t xml:space="preserve">(Lumley, 2019; van Buuren &amp; Groothuis-Oudshoorn, 2023)</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“Overall, how satisfied are you with your life nowadays?”</w:t>
      </w:r>
      <w:r>
        <w:t xml:space="preserve"> </w:t>
      </w:r>
      <w:r>
        <w:t xml:space="preserve">on a scale ranging from 0</w:t>
      </w:r>
      <w:r>
        <w:t xml:space="preserve"> </w:t>
      </w:r>
      <w:r>
        <w:t xml:space="preserve">“Not at all satisfied”</w:t>
      </w:r>
      <w:r>
        <w:t xml:space="preserve"> </w:t>
      </w:r>
      <w:r>
        <w:t xml:space="preserve">to 10</w:t>
      </w:r>
      <w:r>
        <w:t xml:space="preserve"> </w:t>
      </w:r>
      <w:r>
        <w:t xml:space="preserve">“Completely satisfied”</w:t>
      </w:r>
      <w:r>
        <w:t xml:space="preserve">. This measure has been used in national UK surveys since 2011 and increasing numbers of academic studies, hence providing a useful benchmark for this concept in surveys based in the UK. There is also evidence that this measure is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baseline pre-pandemic measures. As such, we emphasise that our estimates of differences in subjective wellbeing are between individuals all of whom have experienced the pandemic, but may have experienced it in different ways, rather than between their current situation and a counterfactual in which the pandemic did not happen. Others have used pre-existing longitudinal studies to explore change in mental health across the pandemic period</w:t>
      </w:r>
      <w:r>
        <w:t xml:space="preserve"> </w:t>
      </w:r>
      <w:r>
        <w:t xml:space="preserve">(Henseke, mimeo)</w:t>
      </w:r>
      <w:r>
        <w:t xml:space="preserve">, or attempted to get closer to such a counterfactual using a survey experiment approach explicitly asking participants to imagine the scenario where the pandemic had not happened</w:t>
      </w:r>
      <w:r>
        <w:t xml:space="preserve"> </w:t>
      </w:r>
      <w:r>
        <w:t xml:space="preserve">(Andreoli et al., 2024)</w:t>
      </w:r>
      <w:r>
        <w:t xml:space="preserve">.</w:t>
      </w:r>
    </w:p>
    <w:p>
      <w:pPr>
        <w:pStyle w:val="BodyText"/>
      </w:pPr>
      <w:r>
        <w:t xml:space="preserve">We have measures of wellbeing at two waves post-pandemic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index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spread of the measure declining slightly from 2.05 to 1.97, but these are not a particularly substantial change. This provides little evidence of change between these two post-pandemic time points. However, in attempting to interpreting this (lack of) aggregate change, we must be mindful of wider context for this cohort.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‘bounce back’</w:t>
      </w:r>
      <w:r>
        <w:t xml:space="preserve">, with this lack of change suggesting a plateau at a lower level than was the case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our data alone we are unable to adjudicate between multiple potential plausible scenarios. Others, using a wider range of datasets are better placed to do so. For example,</w:t>
      </w:r>
      <w:r>
        <w:t xml:space="preserve"> </w:t>
      </w:r>
      <w:r>
        <w:t xml:space="preserve">Henseke (mimeo)</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that would be expected based on the wider literature on wellbeing across the life course</w:t>
      </w:r>
      <w:r>
        <w:t xml:space="preserve"> </w:t>
      </w:r>
      <w:r>
        <w:t xml:space="preserve">(Blanchflower, 2021)</w:t>
      </w:r>
      <w:r>
        <w:t xml:space="preserve">.</w:t>
      </w:r>
    </w:p>
    <w:p>
      <w:pPr>
        <w:pStyle w:val="BodyText"/>
      </w:pPr>
      <w:r>
        <w:t xml:space="preserve">However, this is not the focus of our paper. This aggregate stability at the cohort level does not mean that there are not individual-level differences or differential change in reported wellbeing. The correlation between the reported measures in Waves 1 and 2 is 0.54. While some of this likely reflects the natural fluctuation in young people’s wellbeing due to idiosyncratic shocks that hit their lives every day, we now go on to explore evidence of systematic difference in change between the two waves, along with the differences in levels at each wave.</w:t>
      </w:r>
    </w:p>
    <w:bookmarkEnd w:id="27"/>
    <w:bookmarkStart w:id="38" w:name="Xc05d1d2839f7c71894e04b9e363a533e6d669f8"/>
    <w:p>
      <w:pPr>
        <w:pStyle w:val="Heading3"/>
      </w:pPr>
      <w:r>
        <w:t xml:space="preserve">2.2 Demographic characteristics and social support</w:t>
      </w:r>
    </w:p>
    <w:p>
      <w:pPr>
        <w:pStyle w:val="FirstParagraph"/>
      </w:pPr>
      <w:r>
        <w:t xml:space="preserve">As discussed at the outset of this paper, previous work has found that the impact of the pandemic on young people’s wellbeing differs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1"/>
        </w:numPr>
      </w:pPr>
      <w:r>
        <w:rPr>
          <w:i/>
          <w:iCs/>
        </w:rPr>
        <w:t xml:space="preserve">Gender</w:t>
      </w:r>
      <w:r>
        <w:t xml:space="preserve">: There are longstanding concerns about differences in wellbeing by gender, which have only been exacerbated by the pandemic</w:t>
      </w:r>
      <w:r>
        <w:t xml:space="preserve"> </w:t>
      </w:r>
      <w:r>
        <w:t xml:space="preserve">(Davillas &amp; Jones, 2021)</w:t>
      </w:r>
      <w:r>
        <w:t xml:space="preserve">. We construct a variable for this characterised based on young people’s reports at either wave (where a subsequent report is given precedence if they differ), young people are grouped into</w:t>
      </w:r>
      <w:r>
        <w:t xml:space="preserve"> </w:t>
      </w:r>
      <w:r>
        <w:t xml:space="preserve">‘female’</w:t>
      </w:r>
      <w:r>
        <w:t xml:space="preserve">,</w:t>
      </w:r>
      <w:r>
        <w:t xml:space="preserve"> </w:t>
      </w:r>
      <w:r>
        <w:t xml:space="preserve">‘male’</w:t>
      </w:r>
      <w:r>
        <w:t xml:space="preserve"> </w:t>
      </w:r>
      <w:r>
        <w:t xml:space="preserve">and</w:t>
      </w:r>
      <w:r>
        <w:t xml:space="preserve"> </w:t>
      </w:r>
      <w:r>
        <w:t xml:space="preserve">‘non-binary+’</w:t>
      </w:r>
      <w:r>
        <w:t xml:space="preserve">, where the final category is a combination of those who explicitly report being non-binary or choose to identify in any other way (since these other groups are too small for analysis).</w:t>
      </w:r>
    </w:p>
    <w:p>
      <w:pPr>
        <w:pStyle w:val="Compact"/>
        <w:numPr>
          <w:ilvl w:val="0"/>
          <w:numId w:val="1001"/>
        </w:numPr>
      </w:pPr>
      <w:r>
        <w:rPr>
          <w:i/>
          <w:iCs/>
        </w:rPr>
        <w:t xml:space="preserve">Ethnicity</w:t>
      </w:r>
      <w:r>
        <w:t xml:space="preserve">: There is evidence of a greater initial effect on young people’s mental health if they are part of an ethnic minority</w:t>
      </w:r>
      <w:r>
        <w:t xml:space="preserve"> </w:t>
      </w:r>
      <w:r>
        <w:t xml:space="preserve">(Proto &amp; Quintana-Domeque, 2021)</w:t>
      </w:r>
      <w:r>
        <w:t xml:space="preserve">. As with gender, our measure is based on self-reports at either wave (where a subsequent report is given precedence if they differ), young people are grouped into</w:t>
      </w:r>
      <w:r>
        <w:t xml:space="preserve"> </w:t>
      </w:r>
      <w:r>
        <w:t xml:space="preserve">‘White’</w:t>
      </w:r>
      <w:r>
        <w:t xml:space="preserve">,</w:t>
      </w:r>
      <w:r>
        <w:t xml:space="preserve"> </w:t>
      </w:r>
      <w:r>
        <w:t xml:space="preserve">‘Mixed’</w:t>
      </w:r>
      <w:r>
        <w:t xml:space="preserve">,</w:t>
      </w:r>
      <w:r>
        <w:t xml:space="preserve"> </w:t>
      </w:r>
      <w:r>
        <w:t xml:space="preserve">‘Black’</w:t>
      </w:r>
      <w:r>
        <w:t xml:space="preserve">,</w:t>
      </w:r>
      <w:r>
        <w:t xml:space="preserve"> </w:t>
      </w:r>
      <w:r>
        <w:t xml:space="preserve">‘Asian’</w:t>
      </w:r>
      <w:r>
        <w:t xml:space="preserve"> </w:t>
      </w:r>
      <w:r>
        <w:t xml:space="preserve">and</w:t>
      </w:r>
      <w:r>
        <w:t xml:space="preserve"> </w:t>
      </w:r>
      <w:r>
        <w:t xml:space="preserve">‘Other’</w:t>
      </w:r>
      <w:r>
        <w:t xml:space="preserve">. While these categories are broad, they are chosen for consistency with the UK’s major ethnic group classifications while avoiding groups that are too small for analysis purposes.</w:t>
      </w:r>
    </w:p>
    <w:p>
      <w:pPr>
        <w:pStyle w:val="Compact"/>
        <w:numPr>
          <w:ilvl w:val="0"/>
          <w:numId w:val="1001"/>
        </w:numPr>
      </w:pPr>
      <w:r>
        <w:rPr>
          <w:i/>
          <w:iCs/>
        </w:rPr>
        <w:t xml:space="preserve">Parental education</w:t>
      </w:r>
      <w:r>
        <w:t xml:space="preserve">: Generally viewed as a core component of socioeconomic status, which may affect wellbeing through long-term stress processes</w:t>
      </w:r>
      <w:r>
        <w:t xml:space="preserve"> </w:t>
      </w:r>
      <w:r>
        <w:t xml:space="preserve">(Pearlin, 1989)</w:t>
      </w:r>
      <w:r>
        <w:t xml:space="preserve">, we construct a measure of parental education based on the highest level of education reported by either parent at either wave (where a subsequent report is given precedence if they differ), grouping parents into</w:t>
      </w:r>
      <w:r>
        <w:t xml:space="preserve"> </w:t>
      </w:r>
      <w:r>
        <w:t xml:space="preserve">‘Graduate’</w:t>
      </w:r>
      <w:r>
        <w:t xml:space="preserve">,</w:t>
      </w:r>
      <w:r>
        <w:t xml:space="preserve"> </w:t>
      </w:r>
      <w:r>
        <w:t xml:space="preserve">‘Below Graduate’</w:t>
      </w:r>
      <w:r>
        <w:t xml:space="preserve"> </w:t>
      </w:r>
      <w:r>
        <w:t xml:space="preserve">and</w:t>
      </w:r>
      <w:r>
        <w:t xml:space="preserve"> </w:t>
      </w:r>
      <w:r>
        <w:t xml:space="preserve">‘No Quals’</w:t>
      </w:r>
      <w:r>
        <w:t xml:space="preserve">.</w:t>
      </w:r>
    </w:p>
    <w:p>
      <w:pPr>
        <w:pStyle w:val="Compact"/>
        <w:numPr>
          <w:ilvl w:val="0"/>
          <w:numId w:val="1001"/>
        </w:numPr>
      </w:pPr>
      <w:r>
        <w:rPr>
          <w:i/>
          <w:iCs/>
        </w:rPr>
        <w:t xml:space="preserve">Housing tenure</w:t>
      </w:r>
      <w:r>
        <w:t xml:space="preserve">: Housing tenure is another component of a family’s socioeconomic status, hence with potential implications for young people’s wellbeing. We construct a measure of housing tenure based on young people’s reports at either wave (where a subsequent report is given precedence if they differ), grouping families into those who own their home (either with a mortgage or outright;</w:t>
      </w:r>
      <w:r>
        <w:t xml:space="preserve"> </w:t>
      </w:r>
      <w:r>
        <w:t xml:space="preserve">‘Own House’</w:t>
      </w:r>
      <w:r>
        <w:t xml:space="preserve">) and all others (which predominantly include social and private renting;</w:t>
      </w:r>
      <w:r>
        <w:t xml:space="preserve"> </w:t>
      </w:r>
      <w:r>
        <w:t xml:space="preserve">‘Other’</w:t>
      </w:r>
      <w:r>
        <w:t xml:space="preserve">).</w:t>
      </w:r>
    </w:p>
    <w:p>
      <w:pPr>
        <w:pStyle w:val="Compact"/>
        <w:numPr>
          <w:ilvl w:val="0"/>
          <w:numId w:val="1001"/>
        </w:numPr>
      </w:pPr>
      <w:r>
        <w:rPr>
          <w:i/>
          <w:iCs/>
        </w:rPr>
        <w:t xml:space="preserve">Area deprivation</w:t>
      </w:r>
      <w:r>
        <w:t xml:space="preserve">: We also include an area-based measure of deprivation of participants’ home address, both as a correlate of socioeconomic stats due to residential sorting and given more direct implications this can have for potentially wellbeing-enhancing amenities. COSMO provides decile groups of the UK’s Income Deprivation Affecting Children Index (IDACI), which is constructed at the</w:t>
      </w:r>
      <w:r>
        <w:t xml:space="preserve"> </w:t>
      </w:r>
      <w:r>
        <w:t xml:space="preserve">‘lower-layer super-output area’</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2024)</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2</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31" w:name="fig-ses_poly"/>
          <w:p>
            <w:pPr>
              <w:jc w:val="center"/>
            </w:pPr>
            <w:pPr>
              <w:jc w:val="start"/>
              <w:spacing w:before="200"/>
              <w:pStyle w:val="ImageCaption"/>
            </w:pPr>
            <w:r>
              <w:t xml:space="preserve">Figure 2: Distribution of SES summary measure, colour-coded by quintile group</w:t>
            </w:r>
          </w:p>
          <w:p>
            <w:pPr>
              <w:jc w:val="center"/>
            </w:pPr>
            <w:r>
              <w:drawing>
                <wp:inline>
                  <wp:extent cx="5334000" cy="3810000"/>
                  <wp:effectExtent b="0" l="0" r="0" t="0"/>
                  <wp:docPr descr="" title="" id="29" name="Picture"/>
                  <a:graphic>
                    <a:graphicData uri="http://schemas.openxmlformats.org/drawingml/2006/picture">
                      <pic:pic>
                        <pic:nvPicPr>
                          <pic:cNvPr descr="index_files/figure-docx/data-ses_poly-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31"/>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1</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32" w:name="tbl-data-descriptives-qses_poly"/>
          <w:p>
            <w:pPr>
              <w:jc w:val="center"/>
            </w:pPr>
            <w:pPr>
              <w:jc w:val="start"/>
              <w:spacing w:before="200"/>
              <w:pStyle w:val="ImageCaption"/>
            </w:pPr>
            <w:r>
              <w:t xml:space="preserve">Table 1: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bookmarkEnd w:id="32"/>
        </w:tc>
      </w:tr>
    </w:tbl>
    <w:p>
      <w:pPr>
        <w:pStyle w:val="BodyText"/>
      </w:pPr>
      <w:r>
        <w:t xml:space="preserve">Various reviews of the impact of the pandemic have highlighted that one’s ability to draw on support around you appears important in helping to buffer shocks to wellbeing</w:t>
      </w:r>
      <w:r>
        <w:t xml:space="preserve"> </w:t>
      </w:r>
      <w:r>
        <w:t xml:space="preserve">(Aksoy et al., 2024)</w:t>
      </w:r>
      <w:r>
        <w:t xml:space="preserve">, using these as resources on which young people are able to draw in the face of adversity. 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“Not true”</w:t>
      </w:r>
      <w:r>
        <w:t xml:space="preserve">,</w:t>
      </w:r>
      <w:r>
        <w:t xml:space="preserve"> </w:t>
      </w:r>
      <w:r>
        <w:t xml:space="preserve">“Partly true”</w:t>
      </w:r>
      <w:r>
        <w:t xml:space="preserve"> </w:t>
      </w:r>
      <w:r>
        <w:t xml:space="preserve">or</w:t>
      </w:r>
      <w:r>
        <w:t xml:space="preserve"> </w:t>
      </w:r>
      <w:r>
        <w:t xml:space="preserve">“Very true”</w:t>
      </w:r>
      <w:r>
        <w:t xml:space="preserve">) to the statements:</w:t>
      </w:r>
    </w:p>
    <w:p>
      <w:pPr>
        <w:pStyle w:val="Compact"/>
        <w:numPr>
          <w:ilvl w:val="0"/>
          <w:numId w:val="1002"/>
        </w:numPr>
      </w:pPr>
      <w:r>
        <w:t xml:space="preserve">I have family and friends who help me feel safe, secure and happy</w:t>
      </w:r>
    </w:p>
    <w:p>
      <w:pPr>
        <w:pStyle w:val="Compact"/>
        <w:numPr>
          <w:ilvl w:val="0"/>
          <w:numId w:val="1002"/>
        </w:numPr>
      </w:pPr>
      <w:r>
        <w:t xml:space="preserve">There is someone I trust whom I would turn to for advice if I were having problems</w:t>
      </w:r>
    </w:p>
    <w:p>
      <w:pPr>
        <w:pStyle w:val="Compact"/>
        <w:numPr>
          <w:ilvl w:val="0"/>
          <w:numId w:val="1002"/>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6" w:name="fig-psych-dist"/>
          <w:p>
            <w:pPr>
              <w:jc w:val="center"/>
            </w:pPr>
            <w:pPr>
              <w:jc w:val="start"/>
              <w:spacing w:before="200"/>
              <w:pStyle w:val="ImageCaption"/>
            </w:pPr>
            <w:r>
              <w:t xml:space="preserve">Figure 3: Distribution of social provisions scale</w:t>
            </w:r>
          </w:p>
          <w:p>
            <w:pPr>
              <w:jc w:val="center"/>
            </w:pPr>
            <w:r>
              <w:drawing>
                <wp:inline>
                  <wp:extent cx="5334000" cy="3810000"/>
                  <wp:effectExtent b="0" l="0" r="0" t="0"/>
                  <wp:docPr descr="" title="" id="34" name="Picture"/>
                  <a:graphic>
                    <a:graphicData uri="http://schemas.openxmlformats.org/drawingml/2006/picture">
                      <pic:pic>
                        <pic:nvPicPr>
                          <pic:cNvPr descr="index_files/figure-docx/data-psych-dis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6"/>
        </w:tc>
      </w:tr>
    </w:tbl>
    <w:p>
      <w:pPr>
        <w:pStyle w:val="BodyText"/>
      </w:pPr>
      <w:r>
        <w:t xml:space="preserve">Following standard practice, we sum over the values of the three items and then standardise the resulting variable to have a mean of zero and a standard deviation of one for the purposes of interpretation. We plot the distribution of the social provisions scale in</w:t>
      </w:r>
      <w:r>
        <w:t xml:space="preserve"> </w:t>
      </w:r>
      <w:hyperlink w:anchor="fig-psych-dist">
        <w:r>
          <w:rPr>
            <w:rStyle w:val="Hyperlink"/>
          </w:rPr>
          <w:t xml:space="preserve">Figure 3</w:t>
        </w:r>
      </w:hyperlink>
      <w:r>
        <w:t xml:space="preserve">. There is some evidence of a ceiling effect — the majority of respondents scoring the maximum value of 6 on the scale — but with a decent spread below this. We will use this measure as a continuous variable in our analyses.</w:t>
      </w:r>
    </w:p>
    <w:p>
      <w:pPr>
        <w:pStyle w:val="BodyText"/>
      </w:pPr>
      <w:r>
        <w:t xml:space="preserve">Now that we have constructed this set of measures about young people,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tbl-demographics-lifesat"/>
          <w:p>
            <w:pPr>
              <w:jc w:val="center"/>
            </w:pPr>
            <w:pPr>
              <w:jc w:val="start"/>
              <w:spacing w:before="200"/>
              <w:pStyle w:val="ImageCaption"/>
            </w:pPr>
            <w:r>
              <w:t xml:space="preserve">Table 2: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bookmarkEnd w:id="37"/>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In terms of ethnicity, the highest levels of reported wellbeing are for Black young people (6.51 in Wave 1), followed by White young people (6.43), with the lowest being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 However, we will return to explore these differences in more detail, including their potential interplay, in later sections.</w:t>
      </w:r>
    </w:p>
    <w:bookmarkEnd w:id="38"/>
    <w:bookmarkStart w:id="40" w:name="perceived-ongoing-impact"/>
    <w:p>
      <w:pPr>
        <w:pStyle w:val="Heading3"/>
      </w:pPr>
      <w:r>
        <w:t xml:space="preserve">2.3 Perceived ongoing impact</w:t>
      </w:r>
    </w:p>
    <w:p>
      <w:pPr>
        <w:pStyle w:val="FirstParagraph"/>
      </w:pPr>
      <w:r>
        <w:t xml:space="preserve">Next, we seek to quantify differences in young people’s wellbeing by their own perceptions of the ongoing impact of the pandemic. This takes seriously young people’s own perceptions of the ongoing impact of the pandemic on their wellbeing. To capture these perceptions, we use a question asked to young people at the second wave of COSMO. Specifically, young people are asked</w:t>
      </w:r>
      <w:r>
        <w:t xml:space="preserve"> </w:t>
      </w:r>
      <w:r>
        <w:t xml:space="preserve">“Would you say the pandemic is still having an effect on [your mental wellbeing], whether positive or negative?”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9" w:name="tbl-covid-impact-life-sat"/>
          <w:p>
            <w:pPr>
              <w:jc w:val="center"/>
            </w:pPr>
            <w:pPr>
              <w:jc w:val="start"/>
              <w:spacing w:before="200"/>
              <w:pStyle w:val="ImageCaption"/>
            </w:pPr>
            <w:r>
              <w:t xml:space="preserve">Table 3: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bookmarkEnd w:id="39"/>
        </w:tc>
      </w:tr>
    </w:tbl>
    <w:p>
      <w:pPr>
        <w:pStyle w:val="BodyText"/>
      </w:pPr>
      <w:hyperlink w:anchor="tbl-covid-impact-life-sat">
        <w:r>
          <w:rPr>
            <w:rStyle w:val="Hyperlink"/>
          </w:rPr>
          <w:t xml:space="preserve">Table 3</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(6.37 in Wave 1; 6.29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above, these are a very small proportion of the sample.</w:t>
      </w:r>
    </w:p>
    <w:p>
      <w:pPr>
        <w:pStyle w:val="BodyText"/>
      </w:pPr>
      <w:r>
        <w:t xml:space="preserve">These groups are also distinguished by the change in their reported wellbeing between Waves 1 and 2. Those who report that the pandemic is continuing to have a negative impact on their mental wellbeing do, indeed, report a decline in wellbeing (-0.16) between the two waves, while those who report that it has had no impact (-0.08) or that it is having a positive impact report an increase (0.08). Those who report that it is still having an impact but that they don’t know if it is positive or negative report a slight decline (0.11).</w:t>
      </w:r>
    </w:p>
    <w:p>
      <w:pPr>
        <w:pStyle w:val="BodyText"/>
      </w:pPr>
      <w:r>
        <w:t xml:space="preserve">These last two groups are small, so these estimates should be treated with caution, and in subsequent analyses we decide to combine these two groups with the group who report no impact. This allows for an overall comparison of those who report an ongoing negative impact with the rest of the sample in our later regression analyses seeking to understand the interplay of these perceptions further.</w:t>
      </w:r>
    </w:p>
    <w:bookmarkEnd w:id="40"/>
    <w:bookmarkStart w:id="47" w:name="adverse-life-events"/>
    <w:p>
      <w:pPr>
        <w:pStyle w:val="Heading3"/>
      </w:pPr>
      <w:r>
        <w:t xml:space="preserve">2.4 Adverse life events</w:t>
      </w:r>
    </w:p>
    <w:p>
      <w:pPr>
        <w:pStyle w:val="FirstParagraph"/>
      </w:pPr>
      <w:r>
        <w:t xml:space="preserve">Finally, we are interested in understanding whether subjective wellbeing is affected by adverse life events that happened during the COVID pandemic. In Wave 1, COSMO asked participants whether they had experienced each of the following life events since the onset of the pandemic in March 2020:</w:t>
      </w:r>
    </w:p>
    <w:p>
      <w:pPr>
        <w:pStyle w:val="Compact"/>
        <w:numPr>
          <w:ilvl w:val="0"/>
          <w:numId w:val="1003"/>
        </w:numPr>
      </w:pPr>
      <w:r>
        <w:t xml:space="preserve">A parent/guardian or carer lost their job or business</w:t>
      </w:r>
    </w:p>
    <w:p>
      <w:pPr>
        <w:pStyle w:val="Compact"/>
        <w:numPr>
          <w:ilvl w:val="0"/>
          <w:numId w:val="1003"/>
        </w:numPr>
      </w:pPr>
      <w:r>
        <w:t xml:space="preserve">My family could not afford to buy enough food, or had to use a food bank</w:t>
      </w:r>
    </w:p>
    <w:p>
      <w:pPr>
        <w:pStyle w:val="Compact"/>
        <w:numPr>
          <w:ilvl w:val="0"/>
          <w:numId w:val="1003"/>
        </w:numPr>
      </w:pPr>
      <w:r>
        <w:t xml:space="preserve">My family could not afford to pay their bills/rent/mortgage</w:t>
      </w:r>
    </w:p>
    <w:p>
      <w:pPr>
        <w:pStyle w:val="Compact"/>
        <w:numPr>
          <w:ilvl w:val="0"/>
          <w:numId w:val="1003"/>
        </w:numPr>
      </w:pPr>
      <w:r>
        <w:t xml:space="preserve">I was seriously ill in hospital</w:t>
      </w:r>
    </w:p>
    <w:p>
      <w:pPr>
        <w:pStyle w:val="Compact"/>
        <w:numPr>
          <w:ilvl w:val="0"/>
          <w:numId w:val="1003"/>
        </w:numPr>
      </w:pPr>
      <w:r>
        <w:t xml:space="preserve">A close family member or friend is or was seriously ill in hospital</w:t>
      </w:r>
    </w:p>
    <w:p>
      <w:pPr>
        <w:pStyle w:val="Compact"/>
        <w:numPr>
          <w:ilvl w:val="0"/>
          <w:numId w:val="1003"/>
        </w:numPr>
      </w:pPr>
      <w:r>
        <w:t xml:space="preserve">A close family member or friend died</w:t>
      </w:r>
    </w:p>
    <w:p>
      <w:pPr>
        <w:pStyle w:val="Compact"/>
        <w:numPr>
          <w:ilvl w:val="0"/>
          <w:numId w:val="1003"/>
        </w:numPr>
      </w:pPr>
      <w:r>
        <w:t xml:space="preserve">Increase in number of arguments with parents/guardians</w:t>
      </w:r>
    </w:p>
    <w:p>
      <w:pPr>
        <w:pStyle w:val="Compact"/>
        <w:numPr>
          <w:ilvl w:val="0"/>
          <w:numId w:val="1003"/>
        </w:numPr>
      </w:pPr>
      <w:r>
        <w:t xml:space="preserve">Increase in number of arguments between parents/guardians</w:t>
      </w:r>
    </w:p>
    <w:p>
      <w:pPr>
        <w:pStyle w:val="Compact"/>
        <w:numPr>
          <w:ilvl w:val="0"/>
          <w:numId w:val="1003"/>
        </w:numPr>
      </w:pPr>
      <w:r>
        <w:t xml:space="preserve">Moving to a new home</w:t>
      </w:r>
    </w:p>
    <w:p>
      <w:pPr>
        <w:pStyle w:val="Compact"/>
        <w:numPr>
          <w:ilvl w:val="0"/>
          <w:numId w:val="1003"/>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again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first column of</w:t>
      </w:r>
      <w:r>
        <w:t xml:space="preserve"> </w:t>
      </w:r>
      <w:hyperlink w:anchor="tbl-events">
        <w:r>
          <w:rPr>
            <w:rStyle w:val="Hyperlink"/>
          </w:rPr>
          <w:t xml:space="preserve">Table 4</w:t>
        </w:r>
      </w:hyperlink>
      <w:r>
        <w:t xml:space="preserve">.</w:t>
      </w:r>
    </w:p>
    <w:p>
      <w:pPr>
        <w:pStyle w:val="BodyText"/>
      </w:pPr>
      <w:r>
        <w:t xml:space="preserve">We initially anticipated using the simple count of number of adverse events experienced in analyses. However, the substantial differences in prevalence of the events means this would be inappropriately imposing the same importance, or severity, of all the events. Instead, we want to allow these to differ, such that lower probability/higher impact events are given more weight in our analysis. We therefore create a composite index of adverse life events using a polychoric principal component analysis (PCA) of the ten measured adverse life events.</w:t>
      </w:r>
    </w:p>
    <w:tbl>
      <w:tblPr>
        <w:tblStyle w:val="Table"/>
        <w:tblW w:type="pct" w:w="5000"/>
        <w:tblLayout w:type="fixed"/>
        <w:tblLook w:firstRow="0" w:lastRow="0" w:firstColumn="0" w:lastColumn="0" w:noHBand="0" w:noVBand="0" w:val="0000"/>
      </w:tblPr>
      <w:tblGrid>
        <w:gridCol w:w="7920"/>
      </w:tblGrid>
      <w:tr>
        <w:tc>
          <w:tcPr/>
          <w:bookmarkStart w:id="44" w:name="fig-events-index"/>
          <w:p>
            <w:pPr>
              <w:jc w:val="center"/>
            </w:pPr>
            <w:pPr>
              <w:jc w:val="start"/>
              <w:spacing w:before="200"/>
              <w:pStyle w:val="ImageCaption"/>
            </w:pPr>
            <w:r>
              <w:t xml:space="preserve">Figure 4: Distribution of Adverse Events Index, colour-coded by tertile group</w:t>
            </w:r>
          </w:p>
          <w:p>
            <w:pPr>
              <w:jc w:val="center"/>
            </w:pPr>
            <w:r>
              <w:drawing>
                <wp:inline>
                  <wp:extent cx="5334000" cy="3810000"/>
                  <wp:effectExtent b="0" l="0" r="0" t="0"/>
                  <wp:docPr descr="" title="" id="42" name="Picture"/>
                  <a:graphic>
                    <a:graphicData uri="http://schemas.openxmlformats.org/drawingml/2006/picture">
                      <pic:pic>
                        <pic:nvPicPr>
                          <pic:cNvPr descr="index_files/figure-docx/data-events-index-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44"/>
        </w:tc>
      </w:tr>
    </w:tbl>
    <w:p>
      <w:pPr>
        <w:pStyle w:val="BodyText"/>
      </w:pPr>
      <w:r>
        <w:t xml:space="preserve">The first principal component explains 32% of the variance in the ten adverse life events. We standardise this index to have mean 0 and standard deviation 1 in our analysis sample, plot the distribution in</w:t>
      </w:r>
      <w:r>
        <w:t xml:space="preserve"> </w:t>
      </w:r>
      <w:hyperlink w:anchor="fig-events-index">
        <w:r>
          <w:rPr>
            <w:rStyle w:val="Hyperlink"/>
          </w:rPr>
          <w:t xml:space="preserve">Figure 4</w:t>
        </w:r>
      </w:hyperlink>
      <w:r>
        <w:t xml:space="preserve">, and use it to split it into three groups based on the tertiles of the index (accounting for sample weighting). We label these groups as</w:t>
      </w:r>
      <w:r>
        <w:t xml:space="preserve"> </w:t>
      </w:r>
      <w:r>
        <w:t xml:space="preserve">“Low”</w:t>
      </w:r>
      <w:r>
        <w:t xml:space="preserve">,</w:t>
      </w:r>
      <w:r>
        <w:t xml:space="preserve"> </w:t>
      </w:r>
      <w:r>
        <w:t xml:space="preserve">“Medium”</w:t>
      </w:r>
      <w:r>
        <w:t xml:space="preserve"> </w:t>
      </w:r>
      <w:r>
        <w:t xml:space="preserve">and</w:t>
      </w:r>
      <w:r>
        <w:t xml:space="preserve"> </w:t>
      </w:r>
      <w:r>
        <w:t xml:space="preserve">“High”</w:t>
      </w:r>
      <w:r>
        <w:t xml:space="preserve"> </w:t>
      </w:r>
      <w:r>
        <w:t xml:space="preserve">to reflect the relative impact of adverse events experienced by each of these groups.</w:t>
      </w:r>
    </w:p>
    <w:tbl>
      <w:tblPr>
        <w:tblStyle w:val="Table"/>
        <w:tblW w:type="pct" w:w="5000"/>
        <w:tblLayout w:type="fixed"/>
        <w:tblLook w:firstRow="0" w:lastRow="0" w:firstColumn="0" w:lastColumn="0" w:noHBand="0" w:noVBand="0" w:val="0000"/>
      </w:tblPr>
      <w:tblGrid>
        <w:gridCol w:w="7920"/>
      </w:tblGrid>
      <w:tr>
        <w:tc>
          <w:tcPr/>
          <w:bookmarkStart w:id="45" w:name="tbl-events"/>
          <w:p>
            <w:pPr>
              <w:jc w:val="center"/>
            </w:pPr>
            <w:pPr>
              <w:jc w:val="start"/>
              <w:spacing w:before="200"/>
              <w:pStyle w:val="ImageCaption"/>
            </w:pPr>
            <w:r>
              <w:t xml:space="preserve">Table 4: Adverse life events experiences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5"/>
        </w:tc>
      </w:tr>
    </w:tbl>
    <w:p>
      <w:pPr>
        <w:pStyle w:val="BodyText"/>
      </w:pPr>
      <w:r>
        <w:t xml:space="preserve">We report the prevalence of each of the ten adverse life events by the three groups of the index in</w:t>
      </w:r>
      <w:r>
        <w:t xml:space="preserve"> </w:t>
      </w:r>
      <w:hyperlink w:anchor="tbl-events">
        <w:r>
          <w:rPr>
            <w:rStyle w:val="Hyperlink"/>
          </w:rPr>
          <w:t xml:space="preserve">Table 4</w:t>
        </w:r>
      </w:hyperlink>
      <w:r>
        <w:t xml:space="preserve">. This demonstrates that these groups are capturing different levels of exposure to adverse life events, while reflecting the differential prevalence of the ten events. Students in the</w:t>
      </w:r>
      <w:r>
        <w:t xml:space="preserve"> </w:t>
      </w:r>
      <w:r>
        <w:t xml:space="preserve">“Low”</w:t>
      </w:r>
      <w:r>
        <w:t xml:space="preserve"> </w:t>
      </w:r>
      <w:r>
        <w:t xml:space="preserve">group are likely not to have experienced any of the events, with the exception of a close family member dying. In contrast, students in the</w:t>
      </w:r>
      <w:r>
        <w:t xml:space="preserve"> </w:t>
      </w:r>
      <w:r>
        <w:t xml:space="preserve">“High”</w:t>
      </w:r>
      <w:r>
        <w:t xml:space="preserve"> </w:t>
      </w:r>
      <w:r>
        <w:t xml:space="preserve">group have a good chance of having experienced multiple events.</w:t>
      </w:r>
    </w:p>
    <w:tbl>
      <w:tblPr>
        <w:tblStyle w:val="Table"/>
        <w:tblW w:type="pct" w:w="5000"/>
        <w:tblLayout w:type="fixed"/>
        <w:tblLook w:firstRow="0" w:lastRow="0" w:firstColumn="0" w:lastColumn="0" w:noHBand="0" w:noVBand="0" w:val="0000"/>
      </w:tblPr>
      <w:tblGrid>
        <w:gridCol w:w="7920"/>
      </w:tblGrid>
      <w:tr>
        <w:tc>
          <w:tcPr/>
          <w:bookmarkStart w:id="46" w:name="tbl-events-lifesat"/>
          <w:p>
            <w:pPr>
              <w:jc w:val="center"/>
            </w:pPr>
            <w:pPr>
              <w:jc w:val="start"/>
              <w:spacing w:before="200"/>
              <w:pStyle w:val="ImageCaption"/>
            </w:pPr>
            <w:r>
              <w:t xml:space="preserve">Table 5: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6"/>
        </w:tc>
      </w:tr>
    </w:tbl>
    <w:p>
      <w:pPr>
        <w:pStyle w:val="BodyText"/>
      </w:pPr>
      <w:r>
        <w:t xml:space="preserve">We find that mean wellbeing score differs by experience of such events (</w:t>
      </w:r>
      <w:hyperlink w:anchor="tbl-events-lifesat">
        <w:r>
          <w:rPr>
            <w:rStyle w:val="Hyperlink"/>
          </w:rPr>
          <w:t xml:space="preserve">Table 5</w:t>
        </w:r>
      </w:hyperlink>
      <w:r>
        <w:t xml:space="preserve">). Wellbeing is lower for those who experience a higher prevalence of adverse life events, ranging from 5.67 for those with low experience of adverse life events to 6.46 for those with a high level of experience of these.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a lot of differences in socioeconomic and demographic characteristics between those who experience adverse life events and those who do not. For this reason, as well as for our other analyses, we use regression models to help us unpack these findings further.</w:t>
      </w:r>
    </w:p>
    <w:bookmarkEnd w:id="47"/>
    <w:bookmarkEnd w:id="48"/>
    <w:bookmarkStart w:id="52" w:name="sec-regression"/>
    <w:p>
      <w:pPr>
        <w:pStyle w:val="Heading2"/>
      </w:pPr>
      <w:r>
        <w:t xml:space="preserve">3 Regression analysis</w:t>
      </w:r>
    </w:p>
    <w:p>
      <w:pPr>
        <w:pStyle w:val="FirstParagraph"/>
      </w:pPr>
      <w:r>
        <w:t xml:space="preserve">To extend our descriptive analyses and, hence, provide a more nuanced understanding of the factors associated with young people’s wellbeing since the pandemic, we use regression models. All analyses are carried out using the statistical software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along with adjustments to statistical inference due to stratification and clustering of the sample.</w:t>
      </w:r>
    </w:p>
    <w:p>
      <w:pPr>
        <w:pStyle w:val="BodyText"/>
      </w:pPr>
      <w:r>
        <w:t xml:space="preserve">We break this section into three sub-sections, aligned with the research aims in this paper for which we will use regression modelling to support our analysis: demographic differences in subjective wellbeing; the importance of perceived ongoing impact of the pandemic; and the importance of adverse life events during the pandemic.</w:t>
      </w:r>
    </w:p>
    <w:bookmarkStart w:id="49"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the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variables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(White, Asian, Black, Mixed, Other, leaving the omitted category as Mixed),</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p>
      <w:pPr>
        <w:pStyle w:val="BodyText"/>
      </w:pPr>
      <w:r>
        <w:t xml:space="preserve">We begin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2</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w:t>
      </w:r>
    </w:p>
    <w:p>
      <w:pPr>
        <w:pStyle w:val="BodyText"/>
      </w:pPr>
      <w:r>
        <w:t xml:space="preserve">We then explore evidence of intersectional differences in wellbeing between our core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resources in explaining these differences, we add social provisions score in L6. Differences between the coefficients on our demographic characteristics between L4 and L6 will, hence, provide information on the extent to which differences in these resources may explain the unadjusted differences.</w:t>
      </w:r>
    </w:p>
    <w:p>
      <w:pPr>
        <w:pStyle w:val="BodyText"/>
      </w:pPr>
      <w:r>
        <w:t xml:space="preserve">L7 explores whether the importance of social resources varies by demographic characteristics. As with L5, we include interaction terms, this time between our demographic characteristics and the two social resources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resources measures. Comparing coefficients on the demographic characteristics in L6 and L8 will, hence, provide information on the extent to which differences in adverse life events may explain demographic differences in wellbeing. We do not run a model exploring the interaction between adverse life events and demographic characteristics at this point as we will explore this in a subsequent section.</w:t>
      </w:r>
    </w:p>
    <w:bookmarkEnd w:id="49"/>
    <w:bookmarkStart w:id="50"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allowing us to validate and quantify these reports.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w:t>
      </w:r>
    </w:p>
    <w:p>
      <w:pPr>
        <w:pStyle w:val="BodyText"/>
      </w:pPr>
      <w:r>
        <w:t xml:space="preserve">Our first model (P1) again replicates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 (no longer disaggregating the</w:t>
      </w:r>
      <w:r>
        <w:t xml:space="preserve"> </w:t>
      </w:r>
      <w:r>
        <w:t xml:space="preserve">‘don’t know’</w:t>
      </w:r>
      <w:r>
        <w:t xml:space="preserve"> </w:t>
      </w:r>
      <w:r>
        <w:t xml:space="preserve">and</w:t>
      </w:r>
      <w:r>
        <w:t xml:space="preserve"> </w:t>
      </w:r>
      <w:r>
        <w:t xml:space="preserve">‘positive’</w:t>
      </w:r>
      <w:r>
        <w:t xml:space="preserve"> </w:t>
      </w:r>
      <w:r>
        <w:t xml:space="preserve">groups).</w:t>
      </w:r>
    </w:p>
    <w:p>
      <w:pPr>
        <w:pStyle w:val="BodyText"/>
      </w:pPr>
      <w:r>
        <w:t xml:space="preserve">Next, in P2, we include demographic (gender, ethnicity) and socioeconomic status (parental education, housing tenure, and area-level deprivation) covariates. We do this, rather than including combined SES quintile groups, now that we are not trying to interpret an overall SES association but rather adjust for these as flexibly as possible. We also include month of survey at this point.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the social resources available to young people.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 Examining the coefficients on these interaction terms will provide evidence on this point.</w:t>
      </w:r>
    </w:p>
    <w:bookmarkEnd w:id="50"/>
    <w:bookmarkStart w:id="51" w:name="sec-regression-lifeevents"/>
    <w:p>
      <w:pPr>
        <w:pStyle w:val="Heading3"/>
      </w:pPr>
      <w:r>
        <w:t xml:space="preserve">3.3 Importance of adverse life events during the pandemic</w:t>
      </w:r>
    </w:p>
    <w:p>
      <w:pPr>
        <w:pStyle w:val="FirstParagraph"/>
      </w:pPr>
      <w:r>
        <w:t xml:space="preserve">For the paper’s final research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depends on the adverse life experiences they faced, including conditional on their perception of the impact of the pandemic on their wellbeing.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(high and medium, leaving low as a baseline),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 Where we are modelling wellbeing measured at Wave 1, a variant of our events index is used that is based on Wave 1 event reports only.</w:t>
      </w:r>
    </w:p>
    <w:p>
      <w:pPr>
        <w:pStyle w:val="BodyText"/>
      </w:pPr>
      <w:r>
        <w:t xml:space="preserve">Our first model (E1) again replicates our descriptive findings by including only the tercile groups of the adverse life events index, meaning the coefficients on each level of</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report the difference between those who experience medium and high levels of adverse events, as applicable, compared to the low adverse life events group. In preliminary work to inform our approach, we explored alternative ways of including information on adverse life events in our modelling, including using the index as a continuous variable and including a set of binary variables for the individual adverse life events, as listed in</w:t>
      </w:r>
      <w:r>
        <w:t xml:space="preserve"> </w:t>
      </w:r>
      <w:hyperlink w:anchor="sec-data">
        <w:r>
          <w:rPr>
            <w:rStyle w:val="Hyperlink"/>
          </w:rPr>
          <w:t xml:space="preserve">Section 2</w:t>
        </w:r>
      </w:hyperlink>
      <w:r>
        <w:t xml:space="preserve">. We found that including tercile groups provided the most interpretable results without substantively affecting the model fit.</w:t>
      </w:r>
    </w:p>
    <w:p>
      <w:pPr>
        <w:pStyle w:val="BodyText"/>
      </w:pPr>
      <w:r>
        <w:t xml:space="preserve">Next, in E2, we add in demographic characteristics (gender, ethnicity) and socioeconomic status indicators (parental education, housing tenure, and area-level deprivation). We also include month of survey at this point. Our coefficient estimates associated with adverse life events from this model thus provides an estimate of difference in wellbeing associated with greater experiences of adverse life events during the pandemic among those with similar socio-demographic characteristics, as well as the extent to which differential distribution of such life events across socio-demographic groups explains differences in reported wellbeing.</w:t>
      </w:r>
    </w:p>
    <w:p>
      <w:pPr>
        <w:pStyle w:val="BodyText"/>
      </w:pPr>
      <w:r>
        <w:t xml:space="preserve">We then explore the extent to which differences in wellbeing associated with greater experience of adverse life events during the pandemic are explained by the social resources available to young people. In E3, we add covariates for our social provisions scale scores and compare the estimate on our focal variable between models E2 and E3. It may be noted that this is very similar to model L6 from the earlier section but here adverse life events are our focus and, hence, are entered using the tercile groups to aide interpretation.</w:t>
      </w:r>
    </w:p>
    <w:p>
      <w:pPr>
        <w:pStyle w:val="BodyText"/>
      </w:pPr>
      <w:r>
        <w:t xml:space="preserve">Next, we include the covariate for perceived ongoing impact of the pandemic that was the focal variable of the previous section. As we hypothesise that at least some of the formation of ongoing perceptions of negative impact from the pandemic, this model (E4) is likely not a reliable guide to the association between adverse events and wellbeing since including the perception variable is over-controlling. However, the model is useful as a point of comparison with P3 in demonstrating the extent to which the difference in wellbeing associated with a negative perception of the ongoing impact of the pandemic on wellbeing is explained by having experienced adverse life events.</w:t>
      </w:r>
    </w:p>
    <w:p>
      <w:pPr>
        <w:pStyle w:val="BodyText"/>
      </w:pPr>
      <w:r>
        <w:t xml:space="preserve">Finally, analogously to previous sections, we include interactions of our focal variables (experience of adverse life events) with our socio-demographic and social support measures in model E5. This allows us to see if there is evidence of variation in the importance of having experienced adverse life events for post-pandemic wellbeing between different groups of young people.</w:t>
      </w:r>
    </w:p>
    <w:bookmarkEnd w:id="51"/>
    <w:bookmarkEnd w:id="52"/>
    <w:bookmarkStart w:id="127" w:name="sec-results"/>
    <w:p>
      <w:pPr>
        <w:pStyle w:val="Heading2"/>
      </w:pPr>
      <w:r>
        <w:t xml:space="preserve">4 Results</w:t>
      </w:r>
    </w:p>
    <w:p>
      <w:pPr>
        <w:pStyle w:val="FirstParagraph"/>
      </w:pPr>
      <w:r>
        <w:t xml:space="preserve">In this section, we discuss the results of the regression models outlined in the previous section. We begin by exploring demographic differences in wellbeing</w:t>
      </w:r>
      <w:r>
        <w:t xml:space="preserve"> </w:t>
      </w:r>
      <w:hyperlink w:anchor="sec-results-lifesat">
        <w:r>
          <w:rPr>
            <w:rStyle w:val="Hyperlink"/>
          </w:rPr>
          <w:t xml:space="preserve">Section 4.1</w:t>
        </w:r>
      </w:hyperlink>
      <w:r>
        <w:t xml:space="preserve">, before moving on to the importance of perceived ongoing impact of the pandemic</w:t>
      </w:r>
      <w:r>
        <w:t xml:space="preserve"> </w:t>
      </w:r>
      <w:hyperlink w:anchor="sec-results-percep">
        <w:r>
          <w:rPr>
            <w:rStyle w:val="Hyperlink"/>
          </w:rPr>
          <w:t xml:space="preserve">Section 4.2</w:t>
        </w:r>
      </w:hyperlink>
      <w:r>
        <w:t xml:space="preserve"> </w:t>
      </w:r>
      <w:r>
        <w:t xml:space="preserve">and the importance of adverse life events during the pandemic</w:t>
      </w:r>
      <w:r>
        <w:t xml:space="preserve"> </w:t>
      </w:r>
      <w:hyperlink w:anchor="sec-results-events">
        <w:r>
          <w:rPr>
            <w:rStyle w:val="Hyperlink"/>
          </w:rPr>
          <w:t xml:space="preserve">Section 4.3</w:t>
        </w:r>
      </w:hyperlink>
      <w:r>
        <w:t xml:space="preserve">. We primarily report our results graphically</w:t>
      </w:r>
      <w:r>
        <w:t xml:space="preserve"> </w:t>
      </w:r>
      <w:r>
        <w:t xml:space="preserve">(Larmarange, 2024)</w:t>
      </w:r>
      <w:r>
        <w:t xml:space="preserve">, focussing attention on the estimates pertinent to addressing our research aims and allowing for easy comparison across models, supplemented with illustration of interactions between characteristics</w:t>
      </w:r>
      <w:r>
        <w:t xml:space="preserve"> </w:t>
      </w:r>
      <w:r>
        <w:t xml:space="preserve">(Arel-Bundock et al., Forthcoming)</w:t>
      </w:r>
      <w:r>
        <w:t xml:space="preserve">, where relevant. We also provide full regression tables of the results for each model, which are included in</w:t>
      </w:r>
      <w:r>
        <w:t xml:space="preserve"> </w:t>
      </w:r>
      <w:hyperlink w:anchor="sec-appendix-regression">
        <w:r>
          <w:rPr>
            <w:rStyle w:val="Hyperlink"/>
          </w:rPr>
          <w:t xml:space="preserve">Section 6</w:t>
        </w:r>
      </w:hyperlink>
      <w:r>
        <w:t xml:space="preserve"> </w:t>
      </w:r>
      <w:r>
        <w:t xml:space="preserve">for reference.</w:t>
      </w:r>
    </w:p>
    <w:bookmarkStart w:id="84" w:name="sec-results-lifesat"/>
    <w:p>
      <w:pPr>
        <w:pStyle w:val="Heading3"/>
      </w:pPr>
      <w:r>
        <w:t xml:space="preserve">4.1 Demographic differences in subjective wellbeing</w:t>
      </w:r>
    </w:p>
    <w:p>
      <w:pPr>
        <w:pStyle w:val="FirstParagraph"/>
      </w:pPr>
      <w:r>
        <w:t xml:space="preserve">First, we explore overall differences in wellbeing, through a series of models summarised (for ease of reference) in</w:t>
      </w:r>
      <w:r>
        <w:t xml:space="preserve"> </w:t>
      </w:r>
      <w:hyperlink w:anchor="tbl-regression-lifesat-lookup">
        <w:r>
          <w:rPr>
            <w:rStyle w:val="Hyperlink"/>
          </w:rPr>
          <w:t xml:space="preserve">Table 6</w:t>
        </w:r>
      </w:hyperlink>
      <w:r>
        <w:t xml:space="preserve">. The core results are plotted in</w:t>
      </w:r>
      <w:r>
        <w:t xml:space="preserve"> </w:t>
      </w:r>
      <w:hyperlink w:anchor="fig-results-lifesat-gender">
        <w:r>
          <w:rPr>
            <w:rStyle w:val="Hyperlink"/>
          </w:rPr>
          <w:t xml:space="preserve">Figure 5</w:t>
        </w:r>
      </w:hyperlink>
      <w:r>
        <w:t xml:space="preserve"> </w:t>
      </w:r>
      <w:r>
        <w:t xml:space="preserve">for gender,</w:t>
      </w:r>
      <w:r>
        <w:t xml:space="preserve"> </w:t>
      </w:r>
      <w:hyperlink w:anchor="fig-results-lifesat-ethnic">
        <w:r>
          <w:rPr>
            <w:rStyle w:val="Hyperlink"/>
          </w:rPr>
          <w:t xml:space="preserve">Figure 6</w:t>
        </w:r>
      </w:hyperlink>
      <w:r>
        <w:t xml:space="preserve"> </w:t>
      </w:r>
      <w:r>
        <w:t xml:space="preserve">for ethnicity, and</w:t>
      </w:r>
      <w:r>
        <w:t xml:space="preserve"> </w:t>
      </w:r>
      <w:hyperlink w:anchor="fig-results-lifesat-ses">
        <w:r>
          <w:rPr>
            <w:rStyle w:val="Hyperlink"/>
          </w:rPr>
          <w:t xml:space="preserve">Figure 7</w:t>
        </w:r>
      </w:hyperlink>
      <w:r>
        <w:t xml:space="preserve"> </w:t>
      </w:r>
      <w:r>
        <w:t xml:space="preserve">for SES. In each case, results are presented for Wave 1, Wave 2, and Wave 2 adjusted for Wave 1, with the discussion starting out with Wave 1 in each case, before focussing on any notable differences in the pattern for Wave 2, or Wave 2 adjusted for Wave 1. Full tables of results for these models are reported in</w:t>
      </w:r>
      <w:r>
        <w:t xml:space="preserve"> </w:t>
      </w:r>
      <w:hyperlink w:anchor="sec-appendix-regression">
        <w:r>
          <w:rPr>
            <w:rStyle w:val="Hyperlink"/>
          </w:rPr>
          <w:t xml:space="preserve">Section 6</w:t>
        </w:r>
      </w:hyperlink>
      <w:r>
        <w:t xml:space="preserve">, specifically</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53" w:name="tbl-regression-lifesat-lookup"/>
          <w:p>
            <w:pPr>
              <w:jc w:val="center"/>
            </w:pPr>
            <w:pPr>
              <w:jc w:val="start"/>
              <w:spacing w:before="200"/>
              <w:pStyle w:val="ImageCaption"/>
            </w:pPr>
            <w:r>
              <w:t xml:space="preserve">Table 6: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center"/>
                  </w:pPr>
                  <w:r>
                    <w:t xml:space="preserve">Variable</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L4</w:t>
                  </w:r>
                </w:p>
              </w:tc>
              <w:tc>
                <w:tcPr/>
                <w:p>
                  <w:pPr>
                    <w:pStyle w:val="Compact"/>
                    <w:jc w:val="center"/>
                  </w:pPr>
                  <w:r>
                    <w:t xml:space="preserve">L5</w:t>
                  </w:r>
                </w:p>
              </w:tc>
              <w:tc>
                <w:tcPr/>
                <w:p>
                  <w:pPr>
                    <w:pStyle w:val="Compact"/>
                    <w:jc w:val="center"/>
                  </w:pPr>
                  <w:r>
                    <w:t xml:space="preserve">L6</w:t>
                  </w:r>
                </w:p>
              </w:tc>
              <w:tc>
                <w:tcPr/>
                <w:p>
                  <w:pPr>
                    <w:pStyle w:val="Compact"/>
                    <w:jc w:val="center"/>
                  </w:pPr>
                  <w:r>
                    <w:t xml:space="preserve">L7</w:t>
                  </w:r>
                </w:p>
              </w:tc>
              <w:tc>
                <w:tcPr/>
                <w:p>
                  <w:pPr>
                    <w:pStyle w:val="Compact"/>
                    <w:jc w:val="center"/>
                  </w:pPr>
                  <w:r>
                    <w:t xml:space="preserve">L8</w:t>
                  </w:r>
                </w:p>
              </w:tc>
            </w:tr>
            <w:tr>
              <w:tc>
                <w:tcPr/>
                <w:p>
                  <w:pPr>
                    <w:pStyle w:val="Compact"/>
                    <w:jc w:val="center"/>
                  </w:pPr>
                  <w:r>
                    <w:t xml:space="preserve">Gender</w:t>
                  </w:r>
                </w:p>
              </w:tc>
              <w:tc>
                <w:tcPr/>
                <w:p>
                  <w:pPr>
                    <w:pStyle w:val="Compact"/>
                    <w:jc w:val="center"/>
                  </w:pPr>
                  <w:r>
                    <w:t xml:space="preserve">Included</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Ethnicity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Ethnicity</w:t>
                  </w:r>
                </w:p>
              </w:tc>
              <w:tc>
                <w:tcPr/>
                <w:p>
                  <w:pPr>
                    <w:pStyle w:val="Compact"/>
                  </w:pPr>
                </w:p>
              </w:tc>
              <w:tc>
                <w:tcPr/>
                <w:p>
                  <w:pPr>
                    <w:pStyle w:val="Compact"/>
                    <w:jc w:val="center"/>
                  </w:pPr>
                  <w:r>
                    <w:t xml:space="preserve">Included</w:t>
                  </w:r>
                </w:p>
              </w:tc>
              <w:tc>
                <w:tcPr/>
                <w:p>
                  <w:pPr>
                    <w:pStyle w:val="Compact"/>
                  </w:pPr>
                </w:p>
              </w:tc>
              <w:tc>
                <w:tcPr/>
                <w:p>
                  <w:pPr>
                    <w:pStyle w:val="Compact"/>
                    <w:jc w:val="center"/>
                  </w:pPr>
                  <w:r>
                    <w:t xml:space="preserve">Included</w:t>
                  </w:r>
                </w:p>
              </w:tc>
              <w:tc>
                <w:tcPr/>
                <w:p>
                  <w:pPr>
                    <w:pStyle w:val="Compact"/>
                    <w:jc w:val="center"/>
                  </w:pPr>
                  <w:r>
                    <w:t xml:space="preserve">Interacted w/ Gender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SES</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 Gender and Ethnicity</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Gender, Ethnicity and SES</w:t>
                  </w:r>
                </w:p>
              </w:tc>
              <w:tc>
                <w:tcPr/>
                <w:p>
                  <w:pPr>
                    <w:pStyle w:val="Compact"/>
                    <w:jc w:val="center"/>
                  </w:pPr>
                  <w:r>
                    <w:t xml:space="preserve">Included</w:t>
                  </w:r>
                </w:p>
              </w:tc>
            </w:tr>
            <w:tr>
              <w:tc>
                <w:tcPr/>
                <w:p>
                  <w:pPr>
                    <w:pStyle w:val="Compac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r>
          </w:tbl>
          <w:p>
            <w:pPr>
              <w:jc w:val="center"/>
            </w:pPr>
            <w:r>
              <w:rPr>
                <w:b/>
                <w:bCs/>
              </w:rPr>
              <w:t xml:space="preserve">Notes</w:t>
            </w:r>
            <w:r>
              <w:t xml:space="preserve">: L1-L7 refer to the model number. SES = Socioeconomic status.</w:t>
            </w:r>
          </w:p>
          <w:bookmarkEnd w:id="53"/>
        </w:tc>
      </w:tr>
    </w:tbl>
    <w:p/>
    <w:tbl>
      <w:tblPr>
        <w:tblStyle w:val="Table"/>
        <w:tblW w:type="pct" w:w="5000"/>
        <w:tblLayout w:type="fixed"/>
        <w:tblLook w:firstRow="0" w:lastRow="0" w:firstColumn="0" w:lastColumn="0" w:noHBand="0" w:noVBand="0" w:val="0000"/>
      </w:tblPr>
      <w:tblGrid>
        <w:gridCol w:w="7920"/>
      </w:tblGrid>
      <w:tr>
        <w:tc>
          <w:tcPr/>
          <w:bookmarkStart w:id="63" w:name="fig-results-lifesat-gender"/>
          <w:p>
            <w:pPr>
              <w:jc w:val="center"/>
            </w:pPr>
            <w:pPr>
              <w:jc w:val="start"/>
              <w:spacing w:before="200"/>
              <w:pStyle w:val="ImageCaption"/>
            </w:pPr>
            <w:r>
              <w:t xml:space="preserve">Figure 5: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5" name="Picture"/>
                        <a:graphic>
                          <a:graphicData uri="http://schemas.openxmlformats.org/drawingml/2006/picture">
                            <pic:pic>
                              <pic:nvPicPr>
                                <pic:cNvPr descr="index_files/figure-docx/results-lifesat-gender-1.png" id="56" name="Picture"/>
                                <pic:cNvPicPr>
                                  <a:picLocks noChangeArrowheads="1" noChangeAspect="1"/>
                                </pic:cNvPicPr>
                              </pic:nvPicPr>
                              <pic:blipFill>
                                <a:blip r:embed="rId5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8" name="Picture"/>
                        <a:graphic>
                          <a:graphicData uri="http://schemas.openxmlformats.org/drawingml/2006/picture">
                            <pic:pic>
                              <pic:nvPicPr>
                                <pic:cNvPr descr="index_files/figure-docx/results-lifesat-gender-2.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61" name="Picture"/>
                        <a:graphic>
                          <a:graphicData uri="http://schemas.openxmlformats.org/drawingml/2006/picture">
                            <pic:pic>
                              <pic:nvPicPr>
                                <pic:cNvPr descr="index_files/figure-docx/results-lifesat-gender-3.png" id="62" name="Picture"/>
                                <pic:cNvPicPr>
                                  <a:picLocks noChangeArrowheads="1" noChangeAspect="1"/>
                                </pic:cNvPicPr>
                              </pic:nvPicPr>
                              <pic:blipFill>
                                <a:blip r:embed="rId6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63"/>
        </w:tc>
      </w:tr>
    </w:tbl>
    <w:p>
      <w:pPr>
        <w:pStyle w:val="BodyText"/>
      </w:pPr>
      <w:r>
        <w:t xml:space="preserve">Beginning with gender (</w:t>
      </w:r>
      <w:hyperlink w:anchor="fig-results-lifesat-gender">
        <w:r>
          <w:rPr>
            <w:rStyle w:val="Hyperlink"/>
          </w:rPr>
          <w:t xml:space="preserve">Figure 5</w:t>
        </w:r>
      </w:hyperlink>
      <w:r>
        <w:t xml:space="preserve">), we replicate the descriptive findings (</w:t>
      </w:r>
      <w:hyperlink w:anchor="tbl-demographics-lifesat">
        <w:r>
          <w:rPr>
            <w:rStyle w:val="Hyperlink"/>
          </w:rPr>
          <w:t xml:space="preserve">Table 2</w:t>
        </w:r>
      </w:hyperlink>
      <w:r>
        <w:t xml:space="preserve">) in model L1 (except for the inclusion of controls for month of interview), finding that girls’ wellbeing is 0.63 points lower than for boys, and a larger reduction for those grouped as non-binary+ where the reduction is 1.9 points compared to boys. There is essentially no change when we adjust for ethnicity and SES in model L4, with the differences remaining 0.63 points for girls and 1.9 points for non-binary+ young people.</w:t>
      </w:r>
    </w:p>
    <w:p>
      <w:pPr>
        <w:pStyle w:val="BodyText"/>
      </w:pPr>
      <w:r>
        <w:t xml:space="preserve">However, some of the difference in levels of wellbeing for non-binary+ young people appears to be explained by variation in social support. When we include the social provisions scale in model L6, the difference in wellbeing reduces to 1.4 points for those identifying as non-binary+ compared to boys. This makes a similar difference for non-binary+ young people’s wellbeing at Wave 2, but no difference for girls at any wave, nor for non-binary+ youth when considering Wave 2 wellbeing after adjusting for their wellbeing at Wave 1.</w:t>
      </w:r>
    </w:p>
    <w:p>
      <w:pPr>
        <w:pStyle w:val="BodyText"/>
      </w:pPr>
      <w:r>
        <w:t xml:space="preserve">A small part of the remaining difference in wellbeing appears to be explained by experiences of adverse life events, reducing to 1.2 for non-binary+ young people and to 0.5 for girls, although the difference between models L6 and L8 is not statistically significant for the non-binary+ group, nor quite statistically significant at the 5% level for girls.</w:t>
      </w:r>
    </w:p>
    <w:tbl>
      <w:tblPr>
        <w:tblStyle w:val="Table"/>
        <w:tblW w:type="pct" w:w="5000"/>
        <w:tblLayout w:type="fixed"/>
        <w:tblLook w:firstRow="0" w:lastRow="0" w:firstColumn="0" w:lastColumn="0" w:noHBand="0" w:noVBand="0" w:val="0000"/>
      </w:tblPr>
      <w:tblGrid>
        <w:gridCol w:w="7920"/>
      </w:tblGrid>
      <w:tr>
        <w:tc>
          <w:tcPr/>
          <w:bookmarkStart w:id="73" w:name="fig-results-lifesat-ethnic"/>
          <w:p>
            <w:pPr>
              <w:jc w:val="center"/>
            </w:pPr>
            <w:pPr>
              <w:jc w:val="start"/>
              <w:spacing w:before="200"/>
              <w:pStyle w:val="ImageCaption"/>
            </w:pPr>
            <w:r>
              <w:t xml:space="preserve">Figure 6: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65" name="Picture"/>
                        <a:graphic>
                          <a:graphicData uri="http://schemas.openxmlformats.org/drawingml/2006/picture">
                            <pic:pic>
                              <pic:nvPicPr>
                                <pic:cNvPr descr="index_files/figure-docx/results-lifesat-ethnic-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68" name="Picture"/>
                        <a:graphic>
                          <a:graphicData uri="http://schemas.openxmlformats.org/drawingml/2006/picture">
                            <pic:pic>
                              <pic:nvPicPr>
                                <pic:cNvPr descr="index_files/figure-docx/results-lifesat-ethnic-2.png" id="69" name="Picture"/>
                                <pic:cNvPicPr>
                                  <a:picLocks noChangeArrowheads="1" noChangeAspect="1"/>
                                </pic:cNvPicPr>
                              </pic:nvPicPr>
                              <pic:blipFill>
                                <a:blip r:embed="rId6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1" name="Picture"/>
                        <a:graphic>
                          <a:graphicData uri="http://schemas.openxmlformats.org/drawingml/2006/picture">
                            <pic:pic>
                              <pic:nvPicPr>
                                <pic:cNvPr descr="index_files/figure-docx/results-lifesat-ethnic-3.png" id="72" name="Picture"/>
                                <pic:cNvPicPr>
                                  <a:picLocks noChangeArrowheads="1" noChangeAspect="1"/>
                                </pic:cNvPicPr>
                              </pic:nvPicPr>
                              <pic:blipFill>
                                <a:blip r:embed="rId7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73"/>
        </w:tc>
      </w:tr>
    </w:tbl>
    <w:p>
      <w:pPr>
        <w:pStyle w:val="BodyText"/>
      </w:pPr>
      <w:r>
        <w:t xml:space="preserve">Across Waves 1 and 2 (panels 1 and 2 of</w:t>
      </w:r>
      <w:r>
        <w:t xml:space="preserve"> </w:t>
      </w:r>
      <w:hyperlink w:anchor="fig-results-lifesat-ethnic">
        <w:r>
          <w:rPr>
            <w:rStyle w:val="Hyperlink"/>
          </w:rPr>
          <w:t xml:space="preserve">Figure 6</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83" w:name="fig-results-lifesat-ses"/>
          <w:p>
            <w:pPr>
              <w:jc w:val="center"/>
            </w:pPr>
            <w:pPr>
              <w:jc w:val="start"/>
              <w:spacing w:before="200"/>
              <w:pStyle w:val="ImageCaption"/>
            </w:pPr>
            <w:r>
              <w:t xml:space="preserve">Figure 7: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75" name="Picture"/>
                        <a:graphic>
                          <a:graphicData uri="http://schemas.openxmlformats.org/drawingml/2006/picture">
                            <pic:pic>
                              <pic:nvPicPr>
                                <pic:cNvPr descr="index_files/figure-docx/results-lifesat-ses-1.png" id="76"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8" name="Picture"/>
                        <a:graphic>
                          <a:graphicData uri="http://schemas.openxmlformats.org/drawingml/2006/picture">
                            <pic:pic>
                              <pic:nvPicPr>
                                <pic:cNvPr descr="index_files/figure-docx/results-lifesat-ses-2.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81" name="Picture"/>
                        <a:graphic>
                          <a:graphicData uri="http://schemas.openxmlformats.org/drawingml/2006/picture">
                            <pic:pic>
                              <pic:nvPicPr>
                                <pic:cNvPr descr="index_files/figure-docx/results-lifesat-ses-3.png" id="82" name="Picture"/>
                                <pic:cNvPicPr>
                                  <a:picLocks noChangeArrowheads="1" noChangeAspect="1"/>
                                </pic:cNvPicPr>
                              </pic:nvPicPr>
                              <pic:blipFill>
                                <a:blip r:embed="rId8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83"/>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 Full tables of results for these models are reported the final two columns of</w:t>
      </w:r>
      <w:r>
        <w:t xml:space="preserve"> </w:t>
      </w:r>
      <w:hyperlink w:anchor="tbl-results-lifesat-w1">
        <w:r>
          <w:rPr>
            <w:rStyle w:val="Hyperlink"/>
          </w:rPr>
          <w:t xml:space="preserve">Table 9</w:t>
        </w:r>
      </w:hyperlink>
      <w:r>
        <w:t xml:space="preserve"> </w:t>
      </w:r>
      <w:r>
        <w:t xml:space="preserve">(Wave 1),</w:t>
      </w:r>
      <w:r>
        <w:t xml:space="preserve"> </w:t>
      </w:r>
      <w:hyperlink w:anchor="tbl-results-lifesat-w2">
        <w:r>
          <w:rPr>
            <w:rStyle w:val="Hyperlink"/>
          </w:rPr>
          <w:t xml:space="preserve">Table 10</w:t>
        </w:r>
      </w:hyperlink>
      <w:r>
        <w:t xml:space="preserve"> </w:t>
      </w:r>
      <w:r>
        <w:t xml:space="preserve">(Wave 2) and</w:t>
      </w:r>
      <w:r>
        <w:t xml:space="preserve"> </w:t>
      </w:r>
      <w:hyperlink w:anchor="tbl-results-lifesat-diff">
        <w:r>
          <w:rPr>
            <w:rStyle w:val="Hyperlink"/>
          </w:rPr>
          <w:t xml:space="preserve">Table 11</w:t>
        </w:r>
      </w:hyperlink>
      <w:r>
        <w:t xml:space="preserve"> </w:t>
      </w:r>
      <w:r>
        <w:t xml:space="preserve">(Wave 2 adjusting for Wave 1) in</w:t>
      </w:r>
      <w:r>
        <w:t xml:space="preserve"> </w:t>
      </w:r>
      <w:hyperlink w:anchor="sec-appendix-regression">
        <w:r>
          <w:rPr>
            <w:rStyle w:val="Hyperlink"/>
          </w:rPr>
          <w:t xml:space="preserve">Section 6</w:t>
        </w:r>
      </w:hyperlink>
      <w:r>
        <w:t xml:space="preserve">.</w:t>
      </w:r>
    </w:p>
    <w:bookmarkEnd w:id="84"/>
    <w:bookmarkStart w:id="110"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Again, we summarise the models used to explore this issue in</w:t>
      </w:r>
      <w:r>
        <w:t xml:space="preserve"> </w:t>
      </w:r>
      <w:hyperlink w:anchor="tbl-regression-percept-lookup">
        <w:r>
          <w:rPr>
            <w:rStyle w:val="Hyperlink"/>
          </w:rPr>
          <w:t xml:space="preserve">Table 7</w:t>
        </w:r>
      </w:hyperlink>
      <w:r>
        <w:t xml:space="preserve">. The core results are plotted in</w:t>
      </w:r>
      <w:r>
        <w:t xml:space="preserve"> </w:t>
      </w:r>
      <w:hyperlink w:anchor="fig-results-percep">
        <w:r>
          <w:rPr>
            <w:rStyle w:val="Hyperlink"/>
          </w:rPr>
          <w:t xml:space="preserve">Figure 8</w:t>
        </w:r>
      </w:hyperlink>
      <w:r>
        <w:t xml:space="preserve">. Full tables of results for these models are reported in</w:t>
      </w:r>
      <w:r>
        <w:t xml:space="preserve"> </w:t>
      </w:r>
      <w:hyperlink w:anchor="sec-appendix-regression">
        <w:r>
          <w:rPr>
            <w:rStyle w:val="Hyperlink"/>
          </w:rPr>
          <w:t xml:space="preserve">Section 6</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85" w:name="tbl-regression-percept-lookup"/>
          <w:p>
            <w:pPr>
              <w:jc w:val="center"/>
            </w:pPr>
            <w:pPr>
              <w:jc w:val="start"/>
              <w:spacing w:before="200"/>
              <w:pStyle w:val="ImageCaption"/>
            </w:pPr>
            <w:r>
              <w:t xml:space="preserve">Table 7: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center"/>
                  </w:pPr>
                  <w:r>
                    <w:t xml:space="preserve">Variable</w:t>
                  </w:r>
                </w:p>
              </w:tc>
              <w:tc>
                <w:tcPr/>
                <w:p>
                  <w:pPr>
                    <w:pStyle w:val="Compact"/>
                    <w:jc w:val="center"/>
                  </w:pPr>
                  <w:r>
                    <w:t xml:space="preserve">P1</w:t>
                  </w:r>
                </w:p>
              </w:tc>
              <w:tc>
                <w:tcPr/>
                <w:p>
                  <w:pPr>
                    <w:pStyle w:val="Compact"/>
                    <w:jc w:val="center"/>
                  </w:pPr>
                  <w:r>
                    <w:t xml:space="preserve">P2</w:t>
                  </w:r>
                </w:p>
              </w:tc>
              <w:tc>
                <w:tcPr/>
                <w:p>
                  <w:pPr>
                    <w:pStyle w:val="Compact"/>
                    <w:jc w:val="center"/>
                  </w:pPr>
                  <w:r>
                    <w:t xml:space="preserve">P3</w:t>
                  </w:r>
                </w:p>
              </w:tc>
              <w:tc>
                <w:tcPr/>
                <w:p>
                  <w:pPr>
                    <w:pStyle w:val="Compact"/>
                    <w:jc w:val="center"/>
                  </w:pPr>
                  <w:r>
                    <w:t xml:space="preserve">P4</w:t>
                  </w:r>
                </w:p>
              </w:tc>
            </w:tr>
            <w:tr>
              <w:tc>
                <w:tcPr/>
                <w:p>
                  <w:pPr>
                    <w:pStyle w:val="Compact"/>
                    <w:jc w:val="center"/>
                  </w:pPr>
                  <w:r>
                    <w:t xml:space="preserve">Perceived Impact</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and Social Support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85"/>
        </w:tc>
      </w:tr>
    </w:tbl>
    <w:p/>
    <w:tbl>
      <w:tblPr>
        <w:tblStyle w:val="Table"/>
        <w:tblW w:type="pct" w:w="5000"/>
        <w:tblLayout w:type="fixed"/>
        <w:tblLook w:firstRow="0" w:lastRow="0" w:firstColumn="0" w:lastColumn="0" w:noHBand="0" w:noVBand="0" w:val="0000"/>
      </w:tblPr>
      <w:tblGrid>
        <w:gridCol w:w="7920"/>
      </w:tblGrid>
      <w:tr>
        <w:tc>
          <w:tcPr/>
          <w:bookmarkStart w:id="89" w:name="fig-results-percep"/>
          <w:p>
            <w:pPr>
              <w:jc w:val="center"/>
            </w:pPr>
            <w:pPr>
              <w:jc w:val="start"/>
              <w:spacing w:before="200"/>
              <w:pStyle w:val="ImageCaption"/>
            </w:pPr>
            <w:r>
              <w:t xml:space="preserve">Figure 8: Differences in wellbeing by perceived continuing impact of pandemic on wellbeing</w:t>
            </w:r>
          </w:p>
          <w:p>
            <w:pPr>
              <w:jc w:val="center"/>
            </w:pPr>
            <w:r>
              <w:drawing>
                <wp:inline>
                  <wp:extent cx="5334000" cy="3810000"/>
                  <wp:effectExtent b="0" l="0" r="0" t="0"/>
                  <wp:docPr descr="" title="" id="87" name="Picture"/>
                  <a:graphic>
                    <a:graphicData uri="http://schemas.openxmlformats.org/drawingml/2006/picture">
                      <pic:pic>
                        <pic:nvPicPr>
                          <pic:cNvPr descr="index_files/figure-docx/results-percep-1.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89"/>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tbl>
      <w:tblPr>
        <w:tblStyle w:val="Table"/>
        <w:tblW w:type="pct" w:w="5000"/>
        <w:tblLayout w:type="fixed"/>
        <w:tblLook w:firstRow="0" w:lastRow="0" w:firstColumn="0" w:lastColumn="0" w:noHBand="0" w:noVBand="0" w:val="0000"/>
      </w:tblPr>
      <w:tblGrid>
        <w:gridCol w:w="7920"/>
      </w:tblGrid>
      <w:tr>
        <w:tc>
          <w:tcPr/>
          <w:bookmarkStart w:id="99" w:name="fig-pred-diff-gender"/>
          <w:p>
            <w:pPr>
              <w:jc w:val="center"/>
            </w:pPr>
            <w:pPr>
              <w:jc w:val="start"/>
              <w:spacing w:before="200"/>
              <w:pStyle w:val="ImageCaption"/>
            </w:pPr>
            <w:r>
              <w:t xml:space="preserve">Figure 9: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91" name="Picture"/>
                        <a:graphic>
                          <a:graphicData uri="http://schemas.openxmlformats.org/drawingml/2006/picture">
                            <pic:pic>
                              <pic:nvPicPr>
                                <pic:cNvPr descr="index_files/figure-docx/results-pred-diff-gender-1.png" id="92" name="Picture"/>
                                <pic:cNvPicPr>
                                  <a:picLocks noChangeArrowheads="1" noChangeAspect="1"/>
                                </pic:cNvPicPr>
                              </pic:nvPicPr>
                              <pic:blipFill>
                                <a:blip r:embed="rId9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94" name="Picture"/>
                        <a:graphic>
                          <a:graphicData uri="http://schemas.openxmlformats.org/drawingml/2006/picture">
                            <pic:pic>
                              <pic:nvPicPr>
                                <pic:cNvPr descr="index_files/figure-docx/results-pred-diff-gender-2.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97" name="Picture"/>
                        <a:graphic>
                          <a:graphicData uri="http://schemas.openxmlformats.org/drawingml/2006/picture">
                            <pic:pic>
                              <pic:nvPicPr>
                                <pic:cNvPr descr="index_files/figure-docx/results-pred-diff-gender-3.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9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9" w:name="fig-pred-diff-sps"/>
          <w:p>
            <w:pPr>
              <w:jc w:val="center"/>
            </w:pPr>
            <w:pPr>
              <w:jc w:val="start"/>
              <w:spacing w:before="200"/>
              <w:pStyle w:val="ImageCaption"/>
            </w:pPr>
            <w:r>
              <w:t xml:space="preserve">Figure 10: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01" name="Picture"/>
                        <a:graphic>
                          <a:graphicData uri="http://schemas.openxmlformats.org/drawingml/2006/picture">
                            <pic:pic>
                              <pic:nvPicPr>
                                <pic:cNvPr descr="index_files/figure-docx/results-pred-diff-sps-1.png" id="102" name="Picture"/>
                                <pic:cNvPicPr>
                                  <a:picLocks noChangeArrowheads="1" noChangeAspect="1"/>
                                </pic:cNvPicPr>
                              </pic:nvPicPr>
                              <pic:blipFill>
                                <a:blip r:embed="rId10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04" name="Picture"/>
                        <a:graphic>
                          <a:graphicData uri="http://schemas.openxmlformats.org/drawingml/2006/picture">
                            <pic:pic>
                              <pic:nvPicPr>
                                <pic:cNvPr descr="index_files/figure-docx/results-pred-diff-sps-2.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07" name="Picture"/>
                        <a:graphic>
                          <a:graphicData uri="http://schemas.openxmlformats.org/drawingml/2006/picture">
                            <pic:pic>
                              <pic:nvPicPr>
                                <pic:cNvPr descr="index_files/figure-docx/results-pred-diff-sps-3.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109"/>
        </w:tc>
      </w:tr>
    </w:tbl>
    <w:p>
      <w:pPr>
        <w:pStyle w:val="BodyText"/>
      </w:pPr>
      <w:r>
        <w:t xml:space="preserve">We also explore whether the difference associated with this perception is moderated by key demographic characteristics, particularly focussing on gender and social provisions. The results for gender are plotted in</w:t>
      </w:r>
      <w:r>
        <w:t xml:space="preserve"> </w:t>
      </w:r>
      <w:hyperlink w:anchor="fig-pred-diff-gender">
        <w:r>
          <w:rPr>
            <w:rStyle w:val="Hyperlink"/>
          </w:rPr>
          <w:t xml:space="preserve">Figure 9</w:t>
        </w:r>
      </w:hyperlink>
      <w:r>
        <w:t xml:space="preserve"> </w:t>
      </w:r>
      <w:r>
        <w:t xml:space="preserve">and suggest that the differences in wellbeing by perceived ongoing impact of the pandemic on wellbeing are larger for boys, although this is only statistically significant at the 10% level and for Wave 1 so this is rather a tentative finding. The results for social provisions are plotted in</w:t>
      </w:r>
      <w:r>
        <w:t xml:space="preserve"> </w:t>
      </w:r>
      <w:hyperlink w:anchor="fig-pred-diff-sps">
        <w:r>
          <w:rPr>
            <w:rStyle w:val="Hyperlink"/>
          </w:rPr>
          <w:t xml:space="preserve">Figure 10</w:t>
        </w:r>
      </w:hyperlink>
      <w:r>
        <w:t xml:space="preserve"> </w:t>
      </w:r>
      <w:r>
        <w:t xml:space="preserve">and suggest little variation in the difference in wellbeing by perceived ongoing impact of the pandemic on wellbeing depending on the level of social provisions.</w:t>
      </w:r>
    </w:p>
    <w:bookmarkEnd w:id="110"/>
    <w:bookmarkStart w:id="126" w:name="sec-results-events"/>
    <w:p>
      <w:pPr>
        <w:pStyle w:val="Heading3"/>
      </w:pPr>
      <w:r>
        <w:t xml:space="preserve">4.3 Adverse life events</w:t>
      </w:r>
    </w:p>
    <w:p>
      <w:pPr>
        <w:pStyle w:val="FirstParagraph"/>
      </w:pPr>
      <w:r>
        <w:t xml:space="preserve">Next, we turn to the importance of adverse life events for young people’s wellbeing. This is explored through a series of models that, for ease of reference, are summarised in</w:t>
      </w:r>
      <w:r>
        <w:t xml:space="preserve"> </w:t>
      </w:r>
      <w:hyperlink w:anchor="tbl-regression-lifeevents-lookup">
        <w:r>
          <w:rPr>
            <w:rStyle w:val="Hyperlink"/>
          </w:rPr>
          <w:t xml:space="preserve">Table 8</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 core results are plotted in</w:t>
      </w:r>
      <w:r>
        <w:t xml:space="preserve"> </w:t>
      </w:r>
      <w:hyperlink w:anchor="fig-results-events">
        <w:r>
          <w:rPr>
            <w:rStyle w:val="Hyperlink"/>
          </w:rPr>
          <w:t xml:space="preserve">Figure 11</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111" w:name="tbl-regression-lifeevents-lookup"/>
          <w:p>
            <w:pPr>
              <w:jc w:val="center"/>
            </w:pPr>
            <w:pPr>
              <w:jc w:val="start"/>
              <w:spacing w:before="200"/>
              <w:pStyle w:val="ImageCaption"/>
            </w:pPr>
            <w:r>
              <w:t xml:space="preserve">Table 8: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center"/>
                  </w:pPr>
                  <w:r>
                    <w:t xml:space="preserve">Variable</w:t>
                  </w:r>
                </w:p>
              </w:tc>
              <w:tc>
                <w:tcPr/>
                <w:p>
                  <w:pPr>
                    <w:pStyle w:val="Compact"/>
                    <w:jc w:val="center"/>
                  </w:pPr>
                  <w:r>
                    <w:t xml:space="preserve">E1</w:t>
                  </w:r>
                </w:p>
              </w:tc>
              <w:tc>
                <w:tcPr/>
                <w:p>
                  <w:pPr>
                    <w:pStyle w:val="Compact"/>
                    <w:jc w:val="center"/>
                  </w:pPr>
                  <w:r>
                    <w:t xml:space="preserve">E2</w:t>
                  </w:r>
                </w:p>
              </w:tc>
              <w:tc>
                <w:tcPr/>
                <w:p>
                  <w:pPr>
                    <w:pStyle w:val="Compact"/>
                    <w:jc w:val="center"/>
                  </w:pPr>
                  <w:r>
                    <w:t xml:space="preserve">E3</w:t>
                  </w:r>
                </w:p>
              </w:tc>
              <w:tc>
                <w:tcPr/>
                <w:p>
                  <w:pPr>
                    <w:pStyle w:val="Compact"/>
                    <w:jc w:val="center"/>
                  </w:pPr>
                  <w:r>
                    <w:t xml:space="preserve">E4</w:t>
                  </w:r>
                </w:p>
              </w:tc>
              <w:tc>
                <w:tcPr/>
                <w:p>
                  <w:pPr>
                    <w:pStyle w:val="Compact"/>
                    <w:jc w:val="center"/>
                  </w:pPr>
                  <w:r>
                    <w:t xml:space="preserve">E5</w:t>
                  </w:r>
                </w:p>
              </w:tc>
            </w:tr>
            <w:tr>
              <w:tc>
                <w:tcPr/>
                <w:p>
                  <w:pPr>
                    <w:pStyle w:val="Compact"/>
                    <w:jc w:val="center"/>
                  </w:pPr>
                  <w:r>
                    <w:t xml:space="preserve">Adverse Events</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Social Support and Perceived Impact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Perceived Impact</w:t>
                  </w: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Adverse Events</w:t>
                  </w:r>
                </w:p>
              </w:tc>
            </w:tr>
          </w:tbl>
          <w:p>
            <w:pPr>
              <w:jc w:val="center"/>
            </w:pPr>
            <w:r>
              <w:rPr>
                <w:b/>
                <w:bCs/>
              </w:rPr>
              <w:t xml:space="preserve">Notes</w:t>
            </w:r>
            <w:r>
              <w:t xml:space="preserve">: E1-E5 refer to the model number. SES = Socioeconomic status.</w:t>
            </w:r>
          </w:p>
          <w:bookmarkEnd w:id="111"/>
        </w:tc>
      </w:tr>
    </w:tbl>
    <w:p/>
    <w:tbl>
      <w:tblPr>
        <w:tblStyle w:val="Table"/>
        <w:tblW w:type="pct" w:w="5000"/>
        <w:tblLayout w:type="fixed"/>
        <w:tblLook w:firstRow="0" w:lastRow="0" w:firstColumn="0" w:lastColumn="0" w:noHBand="0" w:noVBand="0" w:val="0000"/>
      </w:tblPr>
      <w:tblGrid>
        <w:gridCol w:w="7920"/>
      </w:tblGrid>
      <w:tr>
        <w:tc>
          <w:tcPr/>
          <w:bookmarkStart w:id="121" w:name="fig-results-events"/>
          <w:p>
            <w:pPr>
              <w:jc w:val="center"/>
            </w:pPr>
            <w:pPr>
              <w:jc w:val="start"/>
              <w:spacing w:before="200"/>
              <w:pStyle w:val="ImageCaption"/>
            </w:pPr>
            <w:r>
              <w:t xml:space="preserve">Figure 11: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13" name="Picture"/>
                        <a:graphic>
                          <a:graphicData uri="http://schemas.openxmlformats.org/drawingml/2006/picture">
                            <pic:pic>
                              <pic:nvPicPr>
                                <pic:cNvPr descr="index_files/figure-docx/results-events-1.png" id="114" name="Picture"/>
                                <pic:cNvPicPr>
                                  <a:picLocks noChangeArrowheads="1" noChangeAspect="1"/>
                                </pic:cNvPicPr>
                              </pic:nvPicPr>
                              <pic:blipFill>
                                <a:blip r:embed="rId11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16" name="Picture"/>
                        <a:graphic>
                          <a:graphicData uri="http://schemas.openxmlformats.org/drawingml/2006/picture">
                            <pic:pic>
                              <pic:nvPicPr>
                                <pic:cNvPr descr="index_files/figure-docx/results-events-2.png" id="117" name="Picture"/>
                                <pic:cNvPicPr>
                                  <a:picLocks noChangeArrowheads="1" noChangeAspect="1"/>
                                </pic:cNvPicPr>
                              </pic:nvPicPr>
                              <pic:blipFill>
                                <a:blip r:embed="rId11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19" name="Picture"/>
                        <a:graphic>
                          <a:graphicData uri="http://schemas.openxmlformats.org/drawingml/2006/picture">
                            <pic:pic>
                              <pic:nvPicPr>
                                <pic:cNvPr descr="index_files/figure-docx/results-events-3.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1"/>
        </w:tc>
      </w:tr>
    </w:tbl>
    <w:p>
      <w:pPr>
        <w:pStyle w:val="BodyText"/>
      </w:pPr>
      <w:r>
        <w:t xml:space="preserve">Those who have experienced more adverse life events during the pandemic do report substantially lower wellbeing scores, with the unconditional difference between the low and high prevalence groups being 1.4 points at Wave 1 and 1.3 points at Wave 2. A small part of this difference is explained by demographic characteristics (in E2). However, more is explained by social support (in E3), especially in terms of the those who experienced the most adverse life events (i.e., the High tercile group), bringing the gap between low and high prevalence groups to 0.85 points at Wave 1 and 0.88 points at Wave 2.</w:t>
      </w:r>
    </w:p>
    <w:p>
      <w:pPr>
        <w:pStyle w:val="BodyText"/>
      </w:pPr>
      <w:r>
        <w:t xml:space="preserve">As has become familiar, the patterns are similar but substantially attenuated when considering differences at Wave 2 that control for differences at Wave 1. Nevertheless, there remains a substantial difference (0.36 points) in wellbeing at Wave 2 by adverse events experienced even after controlling for wellbeing at Wave 1,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125" w:name="fig-results-events-perception"/>
          <w:p>
            <w:pPr>
              <w:jc w:val="center"/>
            </w:pPr>
            <w:pPr>
              <w:jc w:val="start"/>
              <w:spacing w:before="200"/>
              <w:pStyle w:val="ImageCaption"/>
            </w:pPr>
            <w:r>
              <w:t xml:space="preserve">Figure 12: Differences in wellbeing by perceived ongoing negative impact of the pandemic, with and without controlling for adverse life events</w:t>
            </w:r>
          </w:p>
          <w:p>
            <w:pPr>
              <w:jc w:val="center"/>
            </w:pPr>
            <w:r>
              <w:drawing>
                <wp:inline>
                  <wp:extent cx="5334000" cy="3810000"/>
                  <wp:effectExtent b="0" l="0" r="0" t="0"/>
                  <wp:docPr descr="" title="" id="123" name="Picture"/>
                  <a:graphic>
                    <a:graphicData uri="http://schemas.openxmlformats.org/drawingml/2006/picture">
                      <pic:pic>
                        <pic:nvPicPr>
                          <pic:cNvPr descr="index_files/figure-docx/results-events-perception-1.png" id="124" name="Picture"/>
                          <pic:cNvPicPr>
                            <a:picLocks noChangeArrowheads="1" noChangeAspect="1"/>
                          </pic:cNvPicPr>
                        </pic:nvPicPr>
                        <pic:blipFill>
                          <a:blip r:embed="rId1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5"/>
        </w:tc>
      </w:tr>
    </w:tbl>
    <w:p>
      <w:pPr>
        <w:pStyle w:val="BodyText"/>
      </w:pPr>
      <w:r>
        <w:t xml:space="preserve">Building on the models reported in</w:t>
      </w:r>
      <w:r>
        <w:t xml:space="preserve"> </w:t>
      </w:r>
      <w:hyperlink w:anchor="fig-results-events">
        <w:r>
          <w:rPr>
            <w:rStyle w:val="Hyperlink"/>
          </w:rPr>
          <w:t xml:space="preserve">Figure 11</w:t>
        </w:r>
      </w:hyperlink>
      <w:r>
        <w:t xml:space="preserve">, we also explore whether the association between adverse life events and wellbeing is mediated by the perceived ongoing impact of the pandemic on wellbeing. The core results are plotted in</w:t>
      </w:r>
      <w:r>
        <w:t xml:space="preserve"> </w:t>
      </w:r>
      <w:hyperlink w:anchor="fig-results-events-perception">
        <w:r>
          <w:rPr>
            <w:rStyle w:val="Hyperlink"/>
          </w:rPr>
          <w:t xml:space="preserve">Figure 12</w:t>
        </w:r>
      </w:hyperlink>
      <w:r>
        <w:t xml:space="preserve">, which compares our model including the perceived ongoing impact of the pandemic on wellbeing (E4) with the analogous model excluding our events measure from earlier analyses (P3). The results suggest that, despite the differences in perceptions explained by adverse events experienced as discussed at the start of this section, only a fairly small part of the perceived ongoing impact of the pandemic on wellbeing is explained by the experience of adverse life events during the pandemic.</w:t>
      </w:r>
    </w:p>
    <w:p>
      <w:pPr>
        <w:pStyle w:val="BodyText"/>
      </w:pPr>
      <w:r>
        <w:t xml:space="preserve">We did also explore whether there was evidence that adverse events matter more for some groups than others using interactions between adverse life events and key demographic characteristics.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There is little evidence of any systematic moderation of the main effects that we have discussed.</w:t>
      </w:r>
    </w:p>
    <w:bookmarkEnd w:id="126"/>
    <w:bookmarkEnd w:id="127"/>
    <w:bookmarkStart w:id="128" w:name="sec-conclusions"/>
    <w:p>
      <w:pPr>
        <w:pStyle w:val="Heading2"/>
      </w:pPr>
      <w:r>
        <w:t xml:space="preserve">5 Conclusions</w:t>
      </w:r>
    </w:p>
    <w:p>
      <w:pPr>
        <w:pStyle w:val="FirstParagraph"/>
      </w:pPr>
      <w:r>
        <w:t xml:space="preserve">This paper contributes to existing literature on young people’s wellbeing in England in the aftermath of the COVID-19 pandemic by exploring levels of wellbeing at two time points since the pandemic and the factors associated with these levels. In particular, we build on existing work showing that the pandemic has had a negative impact on young people’s wellbeing</w:t>
      </w:r>
      <w:r>
        <w:t xml:space="preserve"> </w:t>
      </w:r>
      <w:r>
        <w:t xml:space="preserve">(e.g., Mansfield et al., 2022)</w:t>
      </w:r>
      <w:r>
        <w:t xml:space="preserve">, along with evidence of some initial recovery in wellbeing in the latter phases of the pandemic</w:t>
      </w:r>
      <w:r>
        <w:t xml:space="preserve"> </w:t>
      </w:r>
      <w:r>
        <w:t xml:space="preserve">(Henseke et al., 2022)</w:t>
      </w:r>
      <w:r>
        <w:t xml:space="preserve">.</w:t>
      </w:r>
    </w:p>
    <w:p>
      <w:pPr>
        <w:pStyle w:val="BodyText"/>
      </w:pPr>
      <w:r>
        <w:t xml:space="preserve">We contribute to evidence on ongoing issues of gender differences in wellbeing, which other evidence demonstrates to have been exacerbated by the pandemic</w:t>
      </w:r>
      <w:r>
        <w:t xml:space="preserve"> </w:t>
      </w:r>
      <w:r>
        <w:t xml:space="preserve">(e.g., Davillas &amp; Jones, 2021)</w:t>
      </w:r>
      <w:r>
        <w:t xml:space="preserve">, with girls and those who identify as non-binary or in another way reporting lower wellbeing scores (on a scale from 1-10 around 0.5 for girls; around 1.5 for non-binary+ young people) than boys, even after adjusting for other demographic characteristics, self-reported levels of social support and experience of adverse life events. These are substantial differences that are relevant to the higher rates of mental health challenges for those in these groups. In particular, the large differences associated with identifying as non-binary or in another way suggest the need for targeted support for those in this group.</w:t>
      </w:r>
    </w:p>
    <w:p>
      <w:pPr>
        <w:pStyle w:val="BodyText"/>
      </w:pPr>
      <w:r>
        <w:t xml:space="preserve">Our analysis makes innovative use of young people’s own perceptions of the ongoing impact of the pandemic on their mental wellbeing in order to validate and quantify these reports. The findings of these analyses illustrate the importance of taking such reports seriously: those who indicate an ongoing negative impact in their lives have substantially lower subjective wellbeing scores — more than 1 point on a 1-10 scale — with similar differences across demographic groups.</w:t>
      </w:r>
    </w:p>
    <w:p>
      <w:pPr>
        <w:pStyle w:val="BodyText"/>
      </w:pPr>
      <w:r>
        <w:t xml:space="preserve">Adverse life events experienced during the pandemic are shown to predict lower subjective wellbeing, although they can explain only a fairly small part of the lower scores we see among those who perceive an ongoing impact of the pandemic on their mental wellbeing. Contrary to our expectations, and in contrast to others’ findings</w:t>
      </w:r>
      <w:r>
        <w:t xml:space="preserve"> </w:t>
      </w:r>
      <w:r>
        <w:t xml:space="preserve">(Racine et al., 2021)</w:t>
      </w:r>
      <w:r>
        <w:t xml:space="preserve">, while social support predicts higher wellbeing scores, we did not find evidence that it mediates or buffers the impact of adverse life events in our population.</w:t>
      </w:r>
    </w:p>
    <w:p>
      <w:pPr>
        <w:pStyle w:val="BodyText"/>
      </w:pPr>
      <w:r>
        <w:t xml:space="preserve">This study benefits from a large, representative, longitudinal dataset, with direct reports from both young people and parents to improve the quality of data collected. Nevertheless, in drawing these conclusions, we are mindful of the limitations of this study, most particularly that our data lacks any pre-pandemic baseline measures of wellbeing, which would substantially increase our ability to understand the longer-term dynamics of the changes (or lack thereof) in wellbeing that we have observed. We should also be aware that our data is drawn from a single cohort of young people in England, whose final years in compulsory education were especially disrupted by the impacts of the pandemic, which is important context in any attempt to generalise our findings to other populations.</w:t>
      </w:r>
    </w:p>
    <w:p>
      <w:pPr>
        <w:pStyle w:val="BodyText"/>
      </w:pPr>
      <w:r>
        <w:t xml:space="preserve">Our findings indicate continuing challenges of inequalities in young people’s wellbeing and, hence, the importance of ongoing targeted support to overcome these. The practicalities of providing this at scale are now much harder for our specific cohort, since many of whom have now left education entirely, but many of the issues discussed will apply similarly to those still working their way through the education system who could be reached through schools and colleges. Ignoring this issue has potential implications for national economic performance</w:t>
      </w:r>
      <w:r>
        <w:t xml:space="preserve"> </w:t>
      </w:r>
      <w:r>
        <w:t xml:space="preserve">(Deaton, 2008)</w:t>
      </w:r>
      <w:r>
        <w:t xml:space="preserve">, including via the increased risk of mental health challenges implied</w:t>
      </w:r>
      <w:r>
        <w:t xml:space="preserve"> </w:t>
      </w:r>
      <w:r>
        <w:t xml:space="preserve">(Lombardo et al., 2018)</w:t>
      </w:r>
      <w:r>
        <w:t xml:space="preserve">, if more instrumental motivation is needed than simply the negative implications for the life experiences of these young people.</w:t>
      </w:r>
    </w:p>
    <w:bookmarkEnd w:id="128"/>
    <w:bookmarkStart w:id="232" w:name="references"/>
    <w:p>
      <w:pPr>
        <w:pStyle w:val="Heading2"/>
      </w:pPr>
      <w:r>
        <w:t xml:space="preserve">References</w:t>
      </w:r>
    </w:p>
    <w:bookmarkStart w:id="221" w:name="refs"/>
    <w:bookmarkStart w:id="129"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29"/>
    <w:bookmarkStart w:id="130"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30"/>
    <w:bookmarkStart w:id="132"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1–14.</w:t>
      </w:r>
      <w:r>
        <w:t xml:space="preserve"> </w:t>
      </w:r>
      <w:hyperlink r:id="rId131">
        <w:r>
          <w:rPr>
            <w:rStyle w:val="Hyperlink"/>
          </w:rPr>
          <w:t xml:space="preserve">https://doi.org/10.1186/s40359-024-01596-x</w:t>
        </w:r>
      </w:hyperlink>
    </w:p>
    <w:bookmarkEnd w:id="132"/>
    <w:bookmarkStart w:id="133" w:name="ref-Anders2024b"/>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p>
    <w:bookmarkEnd w:id="133"/>
    <w:bookmarkStart w:id="135" w:name="ref-Anders2024a"/>
    <w:p>
      <w:pPr>
        <w:pStyle w:val="Bibliography"/>
      </w:pPr>
      <w:r>
        <w:t xml:space="preserve">Anders, J., Calderwood, L., Crawford, C., Cullinane, C., Goodman, A., Macmillan, L., Patalay, P., Wyness, G., &amp; University College London, I. O. E.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UK Data Service.</w:t>
      </w:r>
      <w:r>
        <w:t xml:space="preserve"> </w:t>
      </w:r>
      <w:hyperlink r:id="rId134">
        <w:r>
          <w:rPr>
            <w:rStyle w:val="Hyperlink"/>
          </w:rPr>
          <w:t xml:space="preserve">https://doi.org/10.5255/UKDA-SN-9000-4</w:t>
        </w:r>
      </w:hyperlink>
    </w:p>
    <w:bookmarkEnd w:id="135"/>
    <w:bookmarkStart w:id="137" w:name="ref-Anders2024"/>
    <w:p>
      <w:pPr>
        <w:pStyle w:val="Bibliography"/>
      </w:pPr>
      <w:r>
        <w:t xml:space="preserve">Anders, J., Calderwood, L., Crawford, C., Cullinane, C., Goodman, A., Macmillan, L., Patalay, P., Wyness, G., &amp; University College London, I. O. E.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UK Data Service.</w:t>
      </w:r>
      <w:r>
        <w:t xml:space="preserve"> </w:t>
      </w:r>
      <w:hyperlink r:id="rId136">
        <w:r>
          <w:rPr>
            <w:rStyle w:val="Hyperlink"/>
          </w:rPr>
          <w:t xml:space="preserve">https://doi.org/10.5255/UKDA-SN-9158-2</w:t>
        </w:r>
      </w:hyperlink>
    </w:p>
    <w:bookmarkEnd w:id="137"/>
    <w:bookmarkStart w:id="139"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138">
        <w:r>
          <w:rPr>
            <w:rStyle w:val="Hyperlink"/>
          </w:rPr>
          <w:t xml:space="preserve">https://doi.org/10.1080/03054985.2022.2124964</w:t>
        </w:r>
      </w:hyperlink>
    </w:p>
    <w:bookmarkEnd w:id="139"/>
    <w:bookmarkStart w:id="141"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140">
        <w:r>
          <w:rPr>
            <w:rStyle w:val="Hyperlink"/>
          </w:rPr>
          <w:t xml:space="preserve">https://doi.org/10.1007/s12232-024-00453-y</w:t>
        </w:r>
      </w:hyperlink>
    </w:p>
    <w:bookmarkEnd w:id="141"/>
    <w:bookmarkStart w:id="143" w:name="ref-R-marginaleffects"/>
    <w:p>
      <w:pPr>
        <w:pStyle w:val="Bibliography"/>
      </w:pPr>
      <w:r>
        <w:t xml:space="preserve">Arel-Bundock, V., Greifer, N., &amp; Heiss, A. (Forthcoming). How to interpret statistical models using</w:t>
      </w:r>
      <w:r>
        <w:t xml:space="preserve"> </w:t>
      </w:r>
      <w:r>
        <w:rPr>
          <w:rStyle w:val="VerbatimChar"/>
        </w:rPr>
        <w:t xml:space="preserve">marginaleffects</w:t>
      </w:r>
      <w:r>
        <w:t xml:space="preserve"> </w:t>
      </w:r>
      <w:r>
        <w:t xml:space="preserve">in</w:t>
      </w:r>
      <w:r>
        <w:t xml:space="preserve"> </w:t>
      </w:r>
      <w:r>
        <w:rPr>
          <w:rStyle w:val="VerbatimChar"/>
        </w:rPr>
        <w:t xml:space="preserve">R</w:t>
      </w:r>
      <w:r>
        <w:t xml:space="preserve"> </w:t>
      </w:r>
      <w:r>
        <w:t xml:space="preserve">and</w:t>
      </w:r>
      <w:r>
        <w:t xml:space="preserve"> </w:t>
      </w:r>
      <w:r>
        <w:rPr>
          <w:rStyle w:val="VerbatimChar"/>
        </w:rPr>
        <w:t xml:space="preserve">Python</w:t>
      </w:r>
      <w:r>
        <w:t xml:space="preserve">.</w:t>
      </w:r>
      <w:r>
        <w:t xml:space="preserve"> </w:t>
      </w:r>
      <w:r>
        <w:rPr>
          <w:i/>
          <w:iCs/>
        </w:rPr>
        <w:t xml:space="preserve">Journal of Statistical Software</w:t>
      </w:r>
      <w:r>
        <w:t xml:space="preserve">.</w:t>
      </w:r>
      <w:r>
        <w:t xml:space="preserve"> </w:t>
      </w:r>
      <w:hyperlink r:id="rId142">
        <w:r>
          <w:rPr>
            <w:rStyle w:val="Hyperlink"/>
          </w:rPr>
          <w:t xml:space="preserve">https://marginaleffects.com</w:t>
        </w:r>
      </w:hyperlink>
    </w:p>
    <w:bookmarkEnd w:id="143"/>
    <w:bookmarkStart w:id="145"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144">
        <w:r>
          <w:rPr>
            <w:rStyle w:val="Hyperlink"/>
          </w:rPr>
          <w:t xml:space="preserve">https://doi.org/10.1002/jcv2.12164</w:t>
        </w:r>
      </w:hyperlink>
    </w:p>
    <w:bookmarkEnd w:id="145"/>
    <w:bookmarkStart w:id="147"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46">
        <w:r>
          <w:rPr>
            <w:rStyle w:val="Hyperlink"/>
          </w:rPr>
          <w:t xml:space="preserve">https://doi.org/10.1111/1475-5890.12239</w:t>
        </w:r>
      </w:hyperlink>
    </w:p>
    <w:bookmarkEnd w:id="147"/>
    <w:bookmarkStart w:id="149"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48">
        <w:r>
          <w:rPr>
            <w:rStyle w:val="Hyperlink"/>
          </w:rPr>
          <w:t xml:space="preserve">https://doi.org/10.1007/s00148-020-00797-z</w:t>
        </w:r>
      </w:hyperlink>
    </w:p>
    <w:bookmarkEnd w:id="149"/>
    <w:bookmarkStart w:id="151"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50">
        <w:r>
          <w:rPr>
            <w:rStyle w:val="Hyperlink"/>
          </w:rPr>
          <w:t xml:space="preserve">https://doi.org/10.1186/s13104-016-2278-x</w:t>
        </w:r>
      </w:hyperlink>
    </w:p>
    <w:bookmarkEnd w:id="151"/>
    <w:bookmarkStart w:id="153"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52">
        <w:r>
          <w:rPr>
            <w:rStyle w:val="Hyperlink"/>
          </w:rPr>
          <w:t xml:space="preserve">https://doi.org/10.1002/rev3.3116</w:t>
        </w:r>
      </w:hyperlink>
    </w:p>
    <w:bookmarkEnd w:id="153"/>
    <w:bookmarkStart w:id="155"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54">
        <w:r>
          <w:rPr>
            <w:rStyle w:val="Hyperlink"/>
          </w:rPr>
          <w:t xml:space="preserve">https://doi.org/10.1016/S2352-4642(21)00177-2</w:t>
        </w:r>
      </w:hyperlink>
    </w:p>
    <w:bookmarkEnd w:id="155"/>
    <w:bookmarkStart w:id="157"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American Psychological Association.</w:t>
      </w:r>
      <w:r>
        <w:t xml:space="preserve"> </w:t>
      </w:r>
      <w:hyperlink r:id="rId156">
        <w:r>
          <w:rPr>
            <w:rStyle w:val="Hyperlink"/>
          </w:rPr>
          <w:t xml:space="preserve">https://doi.org/10.1037/t06213-000</w:t>
        </w:r>
      </w:hyperlink>
    </w:p>
    <w:bookmarkEnd w:id="157"/>
    <w:bookmarkStart w:id="158" w:name="ref-Davillas2021"/>
    <w:p>
      <w:pPr>
        <w:pStyle w:val="Bibliography"/>
      </w:pPr>
      <w:r>
        <w:t xml:space="preserve">Davillas, A., &amp; Jones, A. M. (2021).</w:t>
      </w:r>
      <w:r>
        <w:t xml:space="preserve"> </w:t>
      </w:r>
      <w:r>
        <w:rPr>
          <w:i/>
          <w:iCs/>
        </w:rPr>
        <w:t xml:space="preserve">The</w:t>
      </w:r>
      <w:r>
        <w:rPr>
          <w:i/>
          <w:iCs/>
        </w:rPr>
        <w:t xml:space="preserve"> </w:t>
      </w:r>
      <w:r>
        <w:rPr>
          <w:i/>
          <w:iCs/>
        </w:rPr>
        <w:t xml:space="preserve">First Wave</w:t>
      </w:r>
      <w:r>
        <w:rPr>
          <w:i/>
          <w:iCs/>
        </w:rPr>
        <w:t xml:space="preserve"> </w:t>
      </w:r>
      <w:r>
        <w:rPr>
          <w:i/>
          <w:iCs/>
        </w:rPr>
        <w:t xml:space="preserve">of the</w:t>
      </w:r>
      <w:r>
        <w:rPr>
          <w:i/>
          <w:iCs/>
        </w:rPr>
        <w:t xml:space="preserve"> </w:t>
      </w:r>
      <w:r>
        <w:rPr>
          <w:i/>
          <w:iCs/>
        </w:rPr>
        <w:t xml:space="preserve">COVID-19 Pandemic</w:t>
      </w:r>
      <w:r>
        <w:rPr>
          <w:i/>
          <w:iCs/>
        </w:rPr>
        <w:t xml:space="preserve"> </w:t>
      </w:r>
      <w:r>
        <w:rPr>
          <w:i/>
          <w:iCs/>
        </w:rPr>
        <w:t xml:space="preserve">and</w:t>
      </w:r>
      <w:r>
        <w:rPr>
          <w:i/>
          <w:iCs/>
        </w:rPr>
        <w:t xml:space="preserve"> </w:t>
      </w:r>
      <w:r>
        <w:rPr>
          <w:i/>
          <w:iCs/>
        </w:rPr>
        <w:t xml:space="preserve">Its Impact</w:t>
      </w:r>
      <w:r>
        <w:rPr>
          <w:i/>
          <w:iCs/>
        </w:rPr>
        <w:t xml:space="preserve"> </w:t>
      </w:r>
      <w:r>
        <w:rPr>
          <w:i/>
          <w:iCs/>
        </w:rPr>
        <w:t xml:space="preserve">on</w:t>
      </w:r>
      <w:r>
        <w:rPr>
          <w:i/>
          <w:iCs/>
        </w:rPr>
        <w:t xml:space="preserve"> </w:t>
      </w:r>
      <w:r>
        <w:rPr>
          <w:i/>
          <w:iCs/>
        </w:rPr>
        <w:t xml:space="preserve">Socioeconomic Inequality</w:t>
      </w:r>
      <w:r>
        <w:rPr>
          <w:i/>
          <w:iCs/>
        </w:rPr>
        <w:t xml:space="preserve"> </w:t>
      </w:r>
      <w:r>
        <w:rPr>
          <w:i/>
          <w:iCs/>
        </w:rPr>
        <w:t xml:space="preserve">in</w:t>
      </w:r>
      <w:r>
        <w:rPr>
          <w:i/>
          <w:iCs/>
        </w:rPr>
        <w:t xml:space="preserve"> </w:t>
      </w:r>
      <w:r>
        <w:rPr>
          <w:i/>
          <w:iCs/>
        </w:rPr>
        <w:t xml:space="preserve">Psychological Distress</w:t>
      </w:r>
      <w:r>
        <w:rPr>
          <w:i/>
          <w:iCs/>
        </w:rPr>
        <w:t xml:space="preserve"> </w:t>
      </w:r>
      <w:r>
        <w:rPr>
          <w:i/>
          <w:iCs/>
        </w:rPr>
        <w:t xml:space="preserve">in the</w:t>
      </w:r>
      <w:r>
        <w:rPr>
          <w:i/>
          <w:iCs/>
        </w:rPr>
        <w:t xml:space="preserve"> </w:t>
      </w:r>
      <w:r>
        <w:rPr>
          <w:i/>
          <w:iCs/>
        </w:rPr>
        <w:t xml:space="preserve">UK</w:t>
      </w:r>
      <w:r>
        <w:t xml:space="preserve"> </w:t>
      </w:r>
      <w:r>
        <w:t xml:space="preserve">({{IZA Discussion Paper}} 14057; p. 34). IZA Institute of Labor Economics.</w:t>
      </w:r>
    </w:p>
    <w:bookmarkEnd w:id="158"/>
    <w:bookmarkStart w:id="160"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59">
        <w:r>
          <w:rPr>
            <w:rStyle w:val="Hyperlink"/>
          </w:rPr>
          <w:t xml:space="preserve">https://doi.org/10.1037/amp0000838</w:t>
        </w:r>
      </w:hyperlink>
    </w:p>
    <w:bookmarkEnd w:id="160"/>
    <w:bookmarkStart w:id="162"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61">
        <w:r>
          <w:rPr>
            <w:rStyle w:val="Hyperlink"/>
          </w:rPr>
          <w:t xml:space="preserve">https://doi.org/10.1257/jep.22.2.53</w:t>
        </w:r>
      </w:hyperlink>
    </w:p>
    <w:bookmarkEnd w:id="162"/>
    <w:bookmarkStart w:id="163" w:name="ref-Hensekemimeo"/>
    <w:p>
      <w:pPr>
        <w:pStyle w:val="Bibliography"/>
      </w:pPr>
      <w:r>
        <w:t xml:space="preserve">Henseke, G. (mimeo).</w:t>
      </w:r>
      <w:r>
        <w:t xml:space="preserve"> </w:t>
      </w:r>
      <w:r>
        <w:rPr>
          <w:i/>
          <w:iCs/>
        </w:rPr>
        <w:t xml:space="preserve">Revisiting the</w:t>
      </w:r>
      <w:r>
        <w:rPr>
          <w:i/>
          <w:iCs/>
        </w:rPr>
        <w:t xml:space="preserve"> </w:t>
      </w:r>
      <w:r>
        <w:rPr>
          <w:i/>
          <w:iCs/>
        </w:rPr>
        <w:t xml:space="preserve">Mental Health Impact</w:t>
      </w:r>
      <w:r>
        <w:rPr>
          <w:i/>
          <w:iCs/>
        </w:rPr>
        <w:t xml:space="preserve"> </w:t>
      </w:r>
      <w:r>
        <w:rPr>
          <w:i/>
          <w:iCs/>
        </w:rPr>
        <w:t xml:space="preserve">of</w:t>
      </w:r>
      <w:r>
        <w:rPr>
          <w:i/>
          <w:iCs/>
        </w:rPr>
        <w:t xml:space="preserve"> </w:t>
      </w:r>
      <w:r>
        <w:rPr>
          <w:i/>
          <w:iCs/>
        </w:rPr>
        <w:t xml:space="preserve">COVID-19</w:t>
      </w:r>
      <w:r>
        <w:rPr>
          <w:i/>
          <w:iCs/>
        </w:rPr>
        <w:t xml:space="preserve"> </w:t>
      </w:r>
      <w:r>
        <w:rPr>
          <w:i/>
          <w:iCs/>
        </w:rPr>
        <w:t xml:space="preserve">on</w:t>
      </w:r>
      <w:r>
        <w:rPr>
          <w:i/>
          <w:iCs/>
        </w:rPr>
        <w:t xml:space="preserve"> </w:t>
      </w:r>
      <w:r>
        <w:rPr>
          <w:i/>
          <w:iCs/>
        </w:rPr>
        <w:t xml:space="preserve">Young Adults</w:t>
      </w:r>
      <w:r>
        <w:rPr>
          <w:i/>
          <w:iCs/>
        </w:rPr>
        <w:t xml:space="preserve">:</w:t>
      </w:r>
      <w:r>
        <w:rPr>
          <w:i/>
          <w:iCs/>
        </w:rPr>
        <w:t xml:space="preserve"> </w:t>
      </w:r>
      <w:r>
        <w:rPr>
          <w:i/>
          <w:iCs/>
        </w:rPr>
        <w:t xml:space="preserve">Long-Term Trends</w:t>
      </w:r>
      <w:r>
        <w:rPr>
          <w:i/>
          <w:iCs/>
        </w:rPr>
        <w:t xml:space="preserve">,</w:t>
      </w:r>
      <w:r>
        <w:rPr>
          <w:i/>
          <w:iCs/>
        </w:rPr>
        <w:t xml:space="preserve"> </w:t>
      </w:r>
      <w:r>
        <w:rPr>
          <w:i/>
          <w:iCs/>
        </w:rPr>
        <w:t xml:space="preserve">Temporary Setbacks</w:t>
      </w:r>
      <w:r>
        <w:rPr>
          <w:i/>
          <w:iCs/>
        </w:rPr>
        <w:t xml:space="preserve">, and</w:t>
      </w:r>
      <w:r>
        <w:rPr>
          <w:i/>
          <w:iCs/>
        </w:rPr>
        <w:t xml:space="preserve"> </w:t>
      </w:r>
      <w:r>
        <w:rPr>
          <w:i/>
          <w:iCs/>
        </w:rPr>
        <w:t xml:space="preserve">Recovery</w:t>
      </w:r>
      <w:r>
        <w:t xml:space="preserve"> </w:t>
      </w:r>
      <w:r>
        <w:t xml:space="preserve">[Unpublished Work].</w:t>
      </w:r>
    </w:p>
    <w:bookmarkEnd w:id="163"/>
    <w:bookmarkStart w:id="165"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64">
        <w:r>
          <w:rPr>
            <w:rStyle w:val="Hyperlink"/>
          </w:rPr>
          <w:t xml:space="preserve">https://doi.org/10.1007/s10964-022-01648-8</w:t>
        </w:r>
      </w:hyperlink>
    </w:p>
    <w:bookmarkEnd w:id="165"/>
    <w:bookmarkStart w:id="166" w:name="ref-Jakubowski2024"/>
    <w:p>
      <w:pPr>
        <w:pStyle w:val="Bibliography"/>
      </w:pPr>
      <w:r>
        <w:t xml:space="preserve">Jakubowski, M., Gajderowicz, T., &amp; Patrinos, H. (2024).</w:t>
      </w:r>
      <w:r>
        <w:t xml:space="preserve"> </w:t>
      </w:r>
      <w:r>
        <w:rPr>
          <w:i/>
          <w:iCs/>
        </w:rPr>
        <w:t xml:space="preserve">COVID-19</w:t>
      </w:r>
      <w:r>
        <w:rPr>
          <w:i/>
          <w:iCs/>
        </w:rPr>
        <w:t xml:space="preserve">,</w:t>
      </w:r>
      <w:r>
        <w:rPr>
          <w:i/>
          <w:iCs/>
        </w:rPr>
        <w:t xml:space="preserve"> </w:t>
      </w:r>
      <w:r>
        <w:rPr>
          <w:i/>
          <w:iCs/>
        </w:rPr>
        <w:t xml:space="preserve">School Closures</w:t>
      </w:r>
      <w:r>
        <w:rPr>
          <w:i/>
          <w:iCs/>
        </w:rPr>
        <w:t xml:space="preserve">, and</w:t>
      </w:r>
      <w:r>
        <w:rPr>
          <w:i/>
          <w:iCs/>
        </w:rPr>
        <w:t xml:space="preserve"> </w:t>
      </w:r>
      <w:r>
        <w:rPr>
          <w:i/>
          <w:iCs/>
        </w:rPr>
        <w:t xml:space="preserve">Student Learning Outcomes</w:t>
      </w:r>
      <w:r>
        <w:rPr>
          <w:i/>
          <w:iCs/>
        </w:rPr>
        <w:t xml:space="preserve">:</w:t>
      </w:r>
      <w:r>
        <w:rPr>
          <w:i/>
          <w:iCs/>
        </w:rPr>
        <w:t xml:space="preserve"> </w:t>
      </w:r>
      <w:r>
        <w:rPr>
          <w:i/>
          <w:iCs/>
        </w:rPr>
        <w:t xml:space="preserve">New Global Evidence</w:t>
      </w:r>
      <w:r>
        <w:rPr>
          <w:i/>
          <w:iCs/>
        </w:rPr>
        <w:t xml:space="preserve"> </w:t>
      </w:r>
      <w:r>
        <w:rPr>
          <w:i/>
          <w:iCs/>
        </w:rPr>
        <w:t xml:space="preserve">from</w:t>
      </w:r>
      <w:r>
        <w:rPr>
          <w:i/>
          <w:iCs/>
        </w:rPr>
        <w:t xml:space="preserve"> </w:t>
      </w:r>
      <w:r>
        <w:rPr>
          <w:i/>
          <w:iCs/>
        </w:rPr>
        <w:t xml:space="preserve">Pisa</w:t>
      </w:r>
      <w:r>
        <w:t xml:space="preserve">.</w:t>
      </w:r>
    </w:p>
    <w:bookmarkEnd w:id="166"/>
    <w:bookmarkStart w:id="168"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67">
        <w:r>
          <w:rPr>
            <w:rStyle w:val="Hyperlink"/>
          </w:rPr>
          <w:t xml:space="preserve">https://doi.org/10.1007/s11136-016-1331-5</w:t>
        </w:r>
      </w:hyperlink>
    </w:p>
    <w:bookmarkEnd w:id="168"/>
    <w:bookmarkStart w:id="170"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69">
        <w:r>
          <w:rPr>
            <w:rStyle w:val="Hyperlink"/>
          </w:rPr>
          <w:t xml:space="preserve">https://doi.org/10.1007/s11150-024-09712-x</w:t>
        </w:r>
      </w:hyperlink>
    </w:p>
    <w:bookmarkEnd w:id="170"/>
    <w:bookmarkStart w:id="172"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71">
        <w:r>
          <w:rPr>
            <w:rStyle w:val="Hyperlink"/>
          </w:rPr>
          <w:t xml:space="preserve">https://doi.org/10.1007/s00787-022-02060-0</w:t>
        </w:r>
      </w:hyperlink>
    </w:p>
    <w:bookmarkEnd w:id="172"/>
    <w:bookmarkStart w:id="174"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73">
        <w:r>
          <w:rPr>
            <w:rStyle w:val="Hyperlink"/>
          </w:rPr>
          <w:t xml:space="preserve">https://doi.org/10.1016/j.socscimed.2023.115692</w:t>
        </w:r>
      </w:hyperlink>
    </w:p>
    <w:bookmarkEnd w:id="174"/>
    <w:bookmarkStart w:id="176" w:name="ref-R-ggstats"/>
    <w:p>
      <w:pPr>
        <w:pStyle w:val="Bibliography"/>
      </w:pPr>
      <w:r>
        <w:t xml:space="preserve">Larmarange, J. (2024).</w:t>
      </w:r>
      <w:r>
        <w:t xml:space="preserve"> </w:t>
      </w:r>
      <w:r>
        <w:rPr>
          <w:i/>
          <w:iCs/>
        </w:rPr>
        <w:t xml:space="preserve">Ggstats: Extension to ggplot2 for plotting stats</w:t>
      </w:r>
      <w:r>
        <w:t xml:space="preserve">.</w:t>
      </w:r>
      <w:r>
        <w:t xml:space="preserve"> </w:t>
      </w:r>
      <w:hyperlink r:id="rId175">
        <w:r>
          <w:rPr>
            <w:rStyle w:val="Hyperlink"/>
          </w:rPr>
          <w:t xml:space="preserve">https://larmarange.github.io/ggstats/</w:t>
        </w:r>
      </w:hyperlink>
    </w:p>
    <w:bookmarkEnd w:id="176"/>
    <w:bookmarkStart w:id="178"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77">
        <w:r>
          <w:rPr>
            <w:rStyle w:val="Hyperlink"/>
          </w:rPr>
          <w:t xml:space="preserve">https://doi.org/10.1007/s11205-013-0507-4</w:t>
        </w:r>
      </w:hyperlink>
    </w:p>
    <w:bookmarkEnd w:id="178"/>
    <w:bookmarkStart w:id="180"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79">
        <w:r>
          <w:rPr>
            <w:rStyle w:val="Hyperlink"/>
          </w:rPr>
          <w:t xml:space="preserve">https://doi.org/10.1186/s12889-018-5235-x</w:t>
        </w:r>
      </w:hyperlink>
    </w:p>
    <w:bookmarkEnd w:id="180"/>
    <w:bookmarkStart w:id="182"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81">
        <w:r>
          <w:rPr>
            <w:rStyle w:val="Hyperlink"/>
          </w:rPr>
          <w:t xml:space="preserve">https://CRAN.R-project.org/package=mitools</w:t>
        </w:r>
      </w:hyperlink>
    </w:p>
    <w:bookmarkEnd w:id="182"/>
    <w:bookmarkStart w:id="184"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83">
        <w:r>
          <w:rPr>
            <w:rStyle w:val="Hyperlink"/>
          </w:rPr>
          <w:t xml:space="preserve">http://r-survey.r-forge.r-project.org/survey/</w:t>
        </w:r>
      </w:hyperlink>
    </w:p>
    <w:bookmarkEnd w:id="184"/>
    <w:bookmarkStart w:id="186" w:name="ref-Mansfield2022a"/>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85">
        <w:r>
          <w:rPr>
            <w:rStyle w:val="Hyperlink"/>
          </w:rPr>
          <w:t xml:space="preserve">https://doi.org/10.1098/rsos.211114</w:t>
        </w:r>
      </w:hyperlink>
    </w:p>
    <w:bookmarkEnd w:id="186"/>
    <w:bookmarkStart w:id="187" w:name="ref-Neugebauer2023"/>
    <w:p>
      <w:pPr>
        <w:pStyle w:val="Bibliography"/>
      </w:pPr>
      <w:r>
        <w:t xml:space="preserve">Neugebauer, M., Patzina, A., Dietrich, H., &amp; Sandner, M. (2023).</w:t>
      </w:r>
      <w:r>
        <w:t xml:space="preserve"> </w:t>
      </w:r>
      <w:r>
        <w:rPr>
          <w:i/>
          <w:iCs/>
        </w:rPr>
        <w:t xml:space="preserve">Two</w:t>
      </w:r>
      <w:r>
        <w:rPr>
          <w:i/>
          <w:iCs/>
        </w:rPr>
        <w:t xml:space="preserve"> </w:t>
      </w:r>
      <w:r>
        <w:rPr>
          <w:i/>
          <w:iCs/>
        </w:rPr>
        <w:t xml:space="preserve">Pandemic Years Greatly Reduced Young People</w:t>
      </w:r>
      <w:r>
        <w:rPr>
          <w:i/>
          <w:iCs/>
        </w:rPr>
        <w:t xml:space="preserve">’s</w:t>
      </w:r>
      <w:r>
        <w:rPr>
          <w:i/>
          <w:iCs/>
        </w:rPr>
        <w:t xml:space="preserve"> </w:t>
      </w:r>
      <w:r>
        <w:rPr>
          <w:i/>
          <w:iCs/>
        </w:rPr>
        <w:t xml:space="preserve">Life Satisfaction</w:t>
      </w:r>
      <w:r>
        <w:rPr>
          <w:i/>
          <w:iCs/>
        </w:rPr>
        <w:t xml:space="preserve">:</w:t>
      </w:r>
      <w:r>
        <w:rPr>
          <w:i/>
          <w:iCs/>
        </w:rPr>
        <w:t xml:space="preserve"> </w:t>
      </w:r>
      <w:r>
        <w:rPr>
          <w:i/>
          <w:iCs/>
        </w:rPr>
        <w:t xml:space="preserve">Evidence</w:t>
      </w:r>
      <w:r>
        <w:rPr>
          <w:i/>
          <w:iCs/>
        </w:rPr>
        <w:t xml:space="preserve"> </w:t>
      </w:r>
      <w:r>
        <w:rPr>
          <w:i/>
          <w:iCs/>
        </w:rPr>
        <w:t xml:space="preserve">from a</w:t>
      </w:r>
      <w:r>
        <w:rPr>
          <w:i/>
          <w:iCs/>
        </w:rPr>
        <w:t xml:space="preserve"> </w:t>
      </w:r>
      <w:r>
        <w:rPr>
          <w:i/>
          <w:iCs/>
        </w:rPr>
        <w:t xml:space="preserve">Comparison</w:t>
      </w:r>
      <w:r>
        <w:rPr>
          <w:i/>
          <w:iCs/>
        </w:rPr>
        <w:t xml:space="preserve"> </w:t>
      </w:r>
      <w:r>
        <w:rPr>
          <w:i/>
          <w:iCs/>
        </w:rPr>
        <w:t xml:space="preserve">with</w:t>
      </w:r>
      <w:r>
        <w:rPr>
          <w:i/>
          <w:iCs/>
        </w:rPr>
        <w:t xml:space="preserve"> </w:t>
      </w:r>
      <w:r>
        <w:rPr>
          <w:i/>
          <w:iCs/>
        </w:rPr>
        <w:t xml:space="preserve">Pre-COVID-19 Panel Data</w:t>
      </w:r>
      <w:r>
        <w:t xml:space="preserve">.</w:t>
      </w:r>
    </w:p>
    <w:bookmarkEnd w:id="187"/>
    <w:bookmarkStart w:id="189"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88">
        <w:r>
          <w:rPr>
            <w:rStyle w:val="Hyperlink"/>
          </w:rPr>
          <w:t xml:space="preserve">https://doi.org/10.1016/S2215-0366(20)30570-8</w:t>
        </w:r>
      </w:hyperlink>
    </w:p>
    <w:bookmarkEnd w:id="189"/>
    <w:bookmarkStart w:id="190" w:name="ref-OfficeforNationalStatistics2018"/>
    <w:p>
      <w:pPr>
        <w:pStyle w:val="Bibliography"/>
      </w:pPr>
      <w:r>
        <w:t xml:space="preserve">Office for National Statistics. (2018). Personal well-being user guidance. In</w:t>
      </w:r>
      <w:r>
        <w:t xml:space="preserve"> </w:t>
      </w:r>
      <w:r>
        <w:rPr>
          <w:i/>
          <w:iCs/>
        </w:rPr>
        <w:t xml:space="preserve">Office for National Statistics</w:t>
      </w:r>
      <w:r>
        <w:t xml:space="preserve">. https://www.ons.gov.uk/peoplepopulationandcommunity/wellbeing/methodologies/personalwellbeingsurveyuserguide.</w:t>
      </w:r>
    </w:p>
    <w:bookmarkEnd w:id="190"/>
    <w:bookmarkStart w:id="191"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p>
    <w:bookmarkEnd w:id="191"/>
    <w:bookmarkStart w:id="193"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92">
        <w:r>
          <w:rPr>
            <w:rStyle w:val="Hyperlink"/>
          </w:rPr>
          <w:t xml:space="preserve">https://doi.org/10.3390/ijerph19031132</w:t>
        </w:r>
      </w:hyperlink>
    </w:p>
    <w:bookmarkEnd w:id="193"/>
    <w:bookmarkStart w:id="195" w:name="ref-Pearlin1989"/>
    <w:p>
      <w:pPr>
        <w:pStyle w:val="Bibliography"/>
      </w:pPr>
      <w:r>
        <w:t xml:space="preserve">Pearlin, L. I. (1989). The</w:t>
      </w:r>
      <w:r>
        <w:t xml:space="preserve"> </w:t>
      </w:r>
      <w:r>
        <w:t xml:space="preserve">Sociological Study</w:t>
      </w:r>
      <w:r>
        <w:t xml:space="preserve"> </w:t>
      </w:r>
      <w:r>
        <w:t xml:space="preserve">of</w:t>
      </w:r>
      <w:r>
        <w:t xml:space="preserve"> </w:t>
      </w:r>
      <w:r>
        <w:t xml:space="preserve">Stress</w:t>
      </w:r>
      <w:r>
        <w:t xml:space="preserve">.</w:t>
      </w:r>
      <w:r>
        <w:t xml:space="preserve"> </w:t>
      </w:r>
      <w:r>
        <w:rPr>
          <w:i/>
          <w:iCs/>
        </w:rPr>
        <w:t xml:space="preserve">Journal of Health and Social Behavior</w:t>
      </w:r>
      <w:r>
        <w:t xml:space="preserve">,</w:t>
      </w:r>
      <w:r>
        <w:t xml:space="preserve"> </w:t>
      </w:r>
      <w:r>
        <w:rPr>
          <w:i/>
          <w:iCs/>
        </w:rPr>
        <w:t xml:space="preserve">30</w:t>
      </w:r>
      <w:r>
        <w:t xml:space="preserve">(3), 241–256.</w:t>
      </w:r>
      <w:r>
        <w:t xml:space="preserve"> </w:t>
      </w:r>
      <w:hyperlink r:id="rId194">
        <w:r>
          <w:rPr>
            <w:rStyle w:val="Hyperlink"/>
          </w:rPr>
          <w:t xml:space="preserve">https://doi.org/10.2307/2136956</w:t>
        </w:r>
      </w:hyperlink>
    </w:p>
    <w:bookmarkEnd w:id="195"/>
    <w:bookmarkStart w:id="197"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96">
        <w:r>
          <w:rPr>
            <w:rStyle w:val="Hyperlink"/>
          </w:rPr>
          <w:t xml:space="preserve">https://doi.org/10.1007/s10964-021-01550-9</w:t>
        </w:r>
      </w:hyperlink>
    </w:p>
    <w:bookmarkEnd w:id="197"/>
    <w:bookmarkStart w:id="199"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198">
        <w:r>
          <w:rPr>
            <w:rStyle w:val="Hyperlink"/>
          </w:rPr>
          <w:t xml:space="preserve">https://doi.org/10.1371/journal.pone.0244419</w:t>
        </w:r>
      </w:hyperlink>
    </w:p>
    <w:bookmarkEnd w:id="199"/>
    <w:bookmarkStart w:id="201"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200">
        <w:r>
          <w:rPr>
            <w:rStyle w:val="Hyperlink"/>
          </w:rPr>
          <w:t xml:space="preserve">https://doi.org/10.1515/bejeap-2021-0394</w:t>
        </w:r>
      </w:hyperlink>
    </w:p>
    <w:bookmarkEnd w:id="201"/>
    <w:bookmarkStart w:id="202"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p>
    <w:bookmarkEnd w:id="202"/>
    <w:bookmarkStart w:id="204"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3">
        <w:r>
          <w:rPr>
            <w:rStyle w:val="Hyperlink"/>
          </w:rPr>
          <w:t xml:space="preserve">https://www.R-project.org/</w:t>
        </w:r>
      </w:hyperlink>
    </w:p>
    <w:bookmarkEnd w:id="204"/>
    <w:bookmarkStart w:id="206"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205">
        <w:r>
          <w:rPr>
            <w:rStyle w:val="Hyperlink"/>
          </w:rPr>
          <w:t xml:space="preserve">https://doi.org/10.1001/jamapediatrics.2021.2482</w:t>
        </w:r>
      </w:hyperlink>
    </w:p>
    <w:bookmarkEnd w:id="206"/>
    <w:bookmarkStart w:id="208"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207">
        <w:r>
          <w:rPr>
            <w:rStyle w:val="Hyperlink"/>
          </w:rPr>
          <w:t xml:space="preserve">https://doi.org/10.1007/s00787-021-01726-5</w:t>
        </w:r>
      </w:hyperlink>
    </w:p>
    <w:bookmarkEnd w:id="208"/>
    <w:bookmarkStart w:id="210" w:name="ref-R-psych"/>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209">
        <w:r>
          <w:rPr>
            <w:rStyle w:val="Hyperlink"/>
          </w:rPr>
          <w:t xml:space="preserve">https://personality-project.org/r/psych/</w:t>
        </w:r>
      </w:hyperlink>
    </w:p>
    <w:bookmarkEnd w:id="210"/>
    <w:bookmarkStart w:id="212"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11">
        <w:r>
          <w:rPr>
            <w:rStyle w:val="Hyperlink"/>
          </w:rPr>
          <w:t xml:space="preserve">https://doi.org/10.1186/s12955-020-01423-y</w:t>
        </w:r>
      </w:hyperlink>
    </w:p>
    <w:bookmarkEnd w:id="212"/>
    <w:bookmarkStart w:id="214"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13">
        <w:r>
          <w:rPr>
            <w:rStyle w:val="Hyperlink"/>
          </w:rPr>
          <w:t xml:space="preserve">https://doi.org/10.1111/camh.12501</w:t>
        </w:r>
      </w:hyperlink>
    </w:p>
    <w:bookmarkEnd w:id="214"/>
    <w:bookmarkStart w:id="216"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15">
        <w:r>
          <w:rPr>
            <w:rStyle w:val="Hyperlink"/>
          </w:rPr>
          <w:t xml:space="preserve">https://doi.org/10.1111/jcpp.13537</w:t>
        </w:r>
      </w:hyperlink>
    </w:p>
    <w:bookmarkEnd w:id="216"/>
    <w:bookmarkStart w:id="218" w:name="ref-R-mice"/>
    <w:p>
      <w:pPr>
        <w:pStyle w:val="Bibliography"/>
      </w:pPr>
      <w:r>
        <w:t xml:space="preserve">van Buuren, S., &amp; Groothuis-Oudshoorn, K. (2023).</w:t>
      </w:r>
      <w:r>
        <w:t xml:space="preserve"> </w:t>
      </w:r>
      <w:r>
        <w:rPr>
          <w:i/>
          <w:iCs/>
        </w:rPr>
        <w:t xml:space="preserve">Mice: Multivariate imputation by chained equations</w:t>
      </w:r>
      <w:r>
        <w:t xml:space="preserve">.</w:t>
      </w:r>
      <w:r>
        <w:t xml:space="preserve"> </w:t>
      </w:r>
      <w:hyperlink r:id="rId217">
        <w:r>
          <w:rPr>
            <w:rStyle w:val="Hyperlink"/>
          </w:rPr>
          <w:t xml:space="preserve">https://github.com/amices/mice</w:t>
        </w:r>
      </w:hyperlink>
    </w:p>
    <w:bookmarkEnd w:id="218"/>
    <w:bookmarkStart w:id="220"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19">
        <w:r>
          <w:rPr>
            <w:rStyle w:val="Hyperlink"/>
          </w:rPr>
          <w:t xml:space="preserve">https://doi.org/10.1007/s00787-023-02206-8</w:t>
        </w:r>
      </w:hyperlink>
    </w:p>
    <w:bookmarkEnd w:id="220"/>
    <w:bookmarkEnd w:id="221"/>
    <w:p>
      <w:pPr>
        <w:sectPr/>
      </w:pPr>
    </w:p>
    <w:bookmarkStart w:id="231" w:name="sec-appendix-regression"/>
    <w:p>
      <w:pPr>
        <w:pStyle w:val="Heading2"/>
      </w:pPr>
      <w:r>
        <w:t xml:space="preserve">6 Appendix: Full regression tables</w:t>
      </w:r>
    </w:p>
    <w:tbl>
      <w:tblPr>
        <w:tblStyle w:val="Table"/>
        <w:tblW w:type="pct" w:w="5000"/>
        <w:tblLayout w:type="fixed"/>
        <w:tblLook w:firstRow="0" w:lastRow="0" w:firstColumn="0" w:lastColumn="0" w:noHBand="0" w:noVBand="0" w:val="0000"/>
      </w:tblPr>
      <w:tblGrid>
        <w:gridCol w:w="7920"/>
      </w:tblGrid>
      <w:tr>
        <w:tc>
          <w:tcPr/>
          <w:bookmarkStart w:id="222"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2"/>
        </w:tc>
      </w:tr>
    </w:tbl>
    <w:tbl>
      <w:tblPr>
        <w:tblStyle w:val="Table"/>
        <w:tblW w:type="pct" w:w="5000"/>
        <w:tblLayout w:type="fixed"/>
        <w:tblLook w:firstRow="0" w:lastRow="0" w:firstColumn="0" w:lastColumn="0" w:noHBand="0" w:noVBand="0" w:val="0000"/>
      </w:tblPr>
      <w:tblGrid>
        <w:gridCol w:w="7920"/>
      </w:tblGrid>
      <w:tr>
        <w:tc>
          <w:tcPr/>
          <w:bookmarkStart w:id="223"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3"/>
        </w:tc>
      </w:tr>
    </w:tbl>
    <w:tbl>
      <w:tblPr>
        <w:tblStyle w:val="Table"/>
        <w:tblW w:type="pct" w:w="5000"/>
        <w:tblLayout w:type="fixed"/>
        <w:tblLook w:firstRow="0" w:lastRow="0" w:firstColumn="0" w:lastColumn="0" w:noHBand="0" w:noVBand="0" w:val="0000"/>
      </w:tblPr>
      <w:tblGrid>
        <w:gridCol w:w="7920"/>
      </w:tblGrid>
      <w:tr>
        <w:tc>
          <w:tcPr/>
          <w:bookmarkStart w:id="224"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4"/>
        </w:tc>
      </w:tr>
    </w:tbl>
    <w:tbl>
      <w:tblPr>
        <w:tblStyle w:val="Table"/>
        <w:tblW w:type="pct" w:w="5000"/>
        <w:tblLayout w:type="fixed"/>
        <w:tblLook w:firstRow="0" w:lastRow="0" w:firstColumn="0" w:lastColumn="0" w:noHBand="0" w:noVBand="0" w:val="0000"/>
      </w:tblPr>
      <w:tblGrid>
        <w:gridCol w:w="7920"/>
      </w:tblGrid>
      <w:tr>
        <w:tc>
          <w:tcPr/>
          <w:bookmarkStart w:id="225"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5"/>
        </w:tc>
      </w:tr>
    </w:tbl>
    <w:tbl>
      <w:tblPr>
        <w:tblStyle w:val="Table"/>
        <w:tblW w:type="pct" w:w="5000"/>
        <w:tblLayout w:type="fixed"/>
        <w:tblLook w:firstRow="0" w:lastRow="0" w:firstColumn="0" w:lastColumn="0" w:noHBand="0" w:noVBand="0" w:val="0000"/>
      </w:tblPr>
      <w:tblGrid>
        <w:gridCol w:w="7920"/>
      </w:tblGrid>
      <w:tr>
        <w:tc>
          <w:tcPr/>
          <w:bookmarkStart w:id="226"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6"/>
        </w:tc>
      </w:tr>
    </w:tbl>
    <w:tbl>
      <w:tblPr>
        <w:tblStyle w:val="Table"/>
        <w:tblW w:type="pct" w:w="5000"/>
        <w:tblLayout w:type="fixed"/>
        <w:tblLook w:firstRow="0" w:lastRow="0" w:firstColumn="0" w:lastColumn="0" w:noHBand="0" w:noVBand="0" w:val="0000"/>
      </w:tblPr>
      <w:tblGrid>
        <w:gridCol w:w="7920"/>
      </w:tblGrid>
      <w:tr>
        <w:tc>
          <w:tcPr/>
          <w:bookmarkStart w:id="227"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7"/>
        </w:tc>
      </w:tr>
    </w:tbl>
    <w:tbl>
      <w:tblPr>
        <w:tblStyle w:val="Table"/>
        <w:tblW w:type="pct" w:w="5000"/>
        <w:tblLayout w:type="fixed"/>
        <w:tblLook w:firstRow="0" w:lastRow="0" w:firstColumn="0" w:lastColumn="0" w:noHBand="0" w:noVBand="0" w:val="0000"/>
      </w:tblPr>
      <w:tblGrid>
        <w:gridCol w:w="7920"/>
      </w:tblGrid>
      <w:tr>
        <w:tc>
          <w:tcPr/>
          <w:bookmarkStart w:id="228"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8"/>
        </w:tc>
      </w:tr>
    </w:tbl>
    <w:tbl>
      <w:tblPr>
        <w:tblStyle w:val="Table"/>
        <w:tblW w:type="pct" w:w="5000"/>
        <w:tblLayout w:type="fixed"/>
        <w:tblLook w:firstRow="0" w:lastRow="0" w:firstColumn="0" w:lastColumn="0" w:noHBand="0" w:noVBand="0" w:val="0000"/>
      </w:tblPr>
      <w:tblGrid>
        <w:gridCol w:w="7920"/>
      </w:tblGrid>
      <w:tr>
        <w:tc>
          <w:tcPr/>
          <w:bookmarkStart w:id="229"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9"/>
        </w:tc>
      </w:tr>
    </w:tbl>
    <w:tbl>
      <w:tblPr>
        <w:tblStyle w:val="Table"/>
        <w:tblW w:type="pct" w:w="5000"/>
        <w:tblLayout w:type="fixed"/>
        <w:tblLook w:firstRow="0" w:lastRow="0" w:firstColumn="0" w:lastColumn="0" w:noHBand="0" w:noVBand="0" w:val="0000"/>
      </w:tblPr>
      <w:tblGrid>
        <w:gridCol w:w="7920"/>
      </w:tblGrid>
      <w:tr>
        <w:tc>
          <w:tcPr/>
          <w:bookmarkStart w:id="230"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30"/>
        </w:tc>
      </w:tr>
    </w:tbl>
    <w:p>
      <w:pPr>
        <w:sectPr>
          <w:pgSz w:h="11906" w:w="16838" w:orient="landscape"/>
        </w:sectPr>
      </w:pPr>
    </w:p>
    <w:bookmarkEnd w:id="231"/>
    <w:bookmarkEnd w:id="232"/>
    <w:bookmarkStart w:id="242" w:name="sec-appendix-mi"/>
    <w:p>
      <w:pPr>
        <w:pStyle w:val="Heading2"/>
      </w:pPr>
      <w:r>
        <w:t xml:space="preserve">7 Appendix: Multiple Imputation</w:t>
      </w:r>
    </w:p>
    <w:tbl>
      <w:tblPr>
        <w:tblStyle w:val="Table"/>
        <w:tblW w:type="pct" w:w="5000"/>
        <w:tblLayout w:type="fixed"/>
        <w:tblLook w:firstRow="0" w:lastRow="0" w:firstColumn="0" w:lastColumn="0" w:noHBand="0" w:noVBand="0" w:val="0000"/>
      </w:tblPr>
      <w:tblGrid>
        <w:gridCol w:w="7920"/>
      </w:tblGrid>
      <w:tr>
        <w:tc>
          <w:tcPr/>
          <w:bookmarkStart w:id="233"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3"/>
        </w:tc>
      </w:tr>
    </w:tbl>
    <w:tbl>
      <w:tblPr>
        <w:tblStyle w:val="Table"/>
        <w:tblW w:type="pct" w:w="5000"/>
        <w:tblLayout w:type="fixed"/>
        <w:tblLook w:firstRow="0" w:lastRow="0" w:firstColumn="0" w:lastColumn="0" w:noHBand="0" w:noVBand="0" w:val="0000"/>
      </w:tblPr>
      <w:tblGrid>
        <w:gridCol w:w="7920"/>
      </w:tblGrid>
      <w:tr>
        <w:tc>
          <w:tcPr/>
          <w:bookmarkStart w:id="234"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4"/>
        </w:tc>
      </w:tr>
    </w:tbl>
    <w:tbl>
      <w:tblPr>
        <w:tblStyle w:val="Table"/>
        <w:tblW w:type="pct" w:w="5000"/>
        <w:tblLayout w:type="fixed"/>
        <w:tblLook w:firstRow="0" w:lastRow="0" w:firstColumn="0" w:lastColumn="0" w:noHBand="0" w:noVBand="0" w:val="0000"/>
      </w:tblPr>
      <w:tblGrid>
        <w:gridCol w:w="7920"/>
      </w:tblGrid>
      <w:tr>
        <w:tc>
          <w:tcPr/>
          <w:bookmarkStart w:id="235"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bookmarkEnd w:id="235"/>
        </w:tc>
      </w:tr>
    </w:tbl>
    <w:tbl>
      <w:tblPr>
        <w:tblStyle w:val="Table"/>
        <w:tblW w:type="pct" w:w="5000"/>
        <w:tblLayout w:type="fixed"/>
        <w:tblLook w:firstRow="0" w:lastRow="0" w:firstColumn="0" w:lastColumn="0" w:noHBand="0" w:noVBand="0" w:val="0000"/>
      </w:tblPr>
      <w:tblGrid>
        <w:gridCol w:w="7920"/>
      </w:tblGrid>
      <w:tr>
        <w:tc>
          <w:tcPr/>
          <w:bookmarkStart w:id="236"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bookmarkEnd w:id="236"/>
        </w:tc>
      </w:tr>
    </w:tbl>
    <w:tbl>
      <w:tblPr>
        <w:tblStyle w:val="Table"/>
        <w:tblW w:type="pct" w:w="5000"/>
        <w:tblLayout w:type="fixed"/>
        <w:tblLook w:firstRow="0" w:lastRow="0" w:firstColumn="0" w:lastColumn="0" w:noHBand="0" w:noVBand="0" w:val="0000"/>
      </w:tblPr>
      <w:tblGrid>
        <w:gridCol w:w="7920"/>
      </w:tblGrid>
      <w:tr>
        <w:tc>
          <w:tcPr/>
          <w:bookmarkStart w:id="237"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bookmarkEnd w:id="237"/>
        </w:tc>
      </w:tr>
    </w:tbl>
    <w:tbl>
      <w:tblPr>
        <w:tblStyle w:val="Table"/>
        <w:tblW w:type="pct" w:w="5000"/>
        <w:tblLayout w:type="fixed"/>
        <w:tblLook w:firstRow="0" w:lastRow="0" w:firstColumn="0" w:lastColumn="0" w:noHBand="0" w:noVBand="0" w:val="0000"/>
      </w:tblPr>
      <w:tblGrid>
        <w:gridCol w:w="7920"/>
      </w:tblGrid>
      <w:tr>
        <w:tc>
          <w:tcPr/>
          <w:bookmarkStart w:id="238"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bookmarkEnd w:id="238"/>
        </w:tc>
      </w:tr>
    </w:tbl>
    <w:tbl>
      <w:tblPr>
        <w:tblStyle w:val="Table"/>
        <w:tblW w:type="pct" w:w="5000"/>
        <w:tblLayout w:type="fixed"/>
        <w:tblLook w:firstRow="0" w:lastRow="0" w:firstColumn="0" w:lastColumn="0" w:noHBand="0" w:noVBand="0" w:val="0000"/>
      </w:tblPr>
      <w:tblGrid>
        <w:gridCol w:w="7920"/>
      </w:tblGrid>
      <w:tr>
        <w:tc>
          <w:tcPr/>
          <w:bookmarkStart w:id="239"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bookmarkEnd w:id="239"/>
        </w:tc>
      </w:tr>
    </w:tbl>
    <w:tbl>
      <w:tblPr>
        <w:tblStyle w:val="Table"/>
        <w:tblW w:type="pct" w:w="5000"/>
        <w:tblLayout w:type="fixed"/>
        <w:tblLook w:firstRow="0" w:lastRow="0" w:firstColumn="0" w:lastColumn="0" w:noHBand="0" w:noVBand="0" w:val="0000"/>
      </w:tblPr>
      <w:tblGrid>
        <w:gridCol w:w="7920"/>
      </w:tblGrid>
      <w:tr>
        <w:tc>
          <w:tcPr/>
          <w:bookmarkStart w:id="240"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bookmarkEnd w:id="240"/>
        </w:tc>
      </w:tr>
    </w:tbl>
    <w:tbl>
      <w:tblPr>
        <w:tblStyle w:val="Table"/>
        <w:tblW w:type="pct" w:w="5000"/>
        <w:tblLayout w:type="fixed"/>
        <w:tblLook w:firstRow="0" w:lastRow="0" w:firstColumn="0" w:lastColumn="0" w:noHBand="0" w:noVBand="0" w:val="0000"/>
      </w:tblPr>
      <w:tblGrid>
        <w:gridCol w:w="7920"/>
      </w:tblGrid>
      <w:tr>
        <w:tc>
          <w:tcPr/>
          <w:bookmarkStart w:id="241"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bookmarkEnd w:id="241"/>
        </w:tc>
      </w:tr>
    </w:tbl>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2024-10-28T22:30:54Z</dcterms:created>
  <dcterms:modified xsi:type="dcterms:W3CDTF">2024-10-28T22:30:54Z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2024-09-30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