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</w:rPr>
        <w:t xml:space="preserve">Cashflow Forecast Report</w:t>
      </w:r>
    </w:p>
    <w:p>
      <w:r>
        <w:rPr>
          <w:b w:val="false"/>
          <w:bCs w:val="false"/>
        </w:rPr>
        <w:t xml:space="preserve">Prepared for Ms Dana Hale · Prepared by A. N. Adviser · 05/10/2026</w:t>
      </w:r>
    </w:p>
    <w:p>
      <w:pPr>
        <w:pStyle w:val="Heading2"/>
      </w:pPr>
      <w:r>
        <w:rPr>
          <w:b w:val="false"/>
          <w:bCs w:val="false"/>
        </w:rPr>
        <w:t xml:space="preserve">Summary</w:t>
      </w:r>
    </w:p>
    <w:p>
      <w:r>
        <w:rPr>
          <w:b w:val="false"/>
          <w:bCs w:val="false"/>
        </w:rPr>
        <w:t xml:space="preserve">This forecast models your finances from today to age 95 in euros. Two scenarios are compared: retaining the Acme Workplace Pension (Scenario A) and transferring it to the Example International SIPP (Scenario B).</w:t>
      </w:r>
    </w:p>
    <w:p>
      <w:pPr>
        <w:pStyle w:val="Heading2"/>
      </w:pPr>
      <w:r>
        <w:rPr>
          <w:b w:val="false"/>
          <w:bCs w:val="false"/>
        </w:rPr>
        <w:t xml:space="preserve">Assumptions</w:t>
      </w:r>
    </w:p>
    <w:p>
      <w:r>
        <w:rPr>
          <w:b w:val="false"/>
          <w:bCs w:val="false"/>
        </w:rPr>
        <w:t xml:space="preserve">Consultancy income: EUR 85,000 a year, continuing until retirement at age 65 in 2040.</w:t>
      </w:r>
    </w:p>
    <w:p>
      <w:r>
        <w:rPr>
          <w:b w:val="false"/>
          <w:bCs w:val="false"/>
        </w:rPr>
        <w:t xml:space="preserve">Expenditure: EUR 48,000 a year, rising with inflation at 2.5% a year.</w:t>
      </w:r>
    </w:p>
    <w:p>
      <w:r>
        <w:rPr>
          <w:b w:val="false"/>
          <w:bCs w:val="false"/>
        </w:rPr>
        <w:t xml:space="preserve">Investment growth: 4.0% a year net of fund charges. Inflation: 2.5% a year.</w:t>
      </w:r>
    </w:p>
    <w:p>
      <w:r>
        <w:rPr>
          <w:b w:val="false"/>
          <w:bCs w:val="false"/>
        </w:rPr>
        <w:t xml:space="preserve">Pension value today: GBP 310,000 (EUR 361,000 at 1.165). State pension from age 67.</w:t>
      </w:r>
    </w:p>
    <w:p>
      <w:pPr>
        <w:pStyle w:val="Heading2"/>
      </w:pPr>
      <w:r>
        <w:rPr>
          <w:b w:val="false"/>
          <w:bCs w:val="false"/>
        </w:rPr>
        <w:t xml:space="preserve">Results</w:t>
      </w:r>
    </w:p>
    <w:p>
      <w:r>
        <w:rPr>
          <w:b w:val="false"/>
          <w:bCs w:val="false"/>
        </w:rPr>
        <w:t xml:space="preserve">Scenario A (retain): your assets meet the retirement income target until 2049. From 2049 there is a shortfall of approximately EUR 6,500 a year, met by drawing on the property.</w:t>
      </w:r>
    </w:p>
    <w:p>
      <w:r>
        <w:rPr>
          <w:b w:val="false"/>
          <w:bCs w:val="false"/>
        </w:rPr>
        <w:t xml:space="preserve">Scenario B (transfer): your assets meet the retirement income target in every year of the forecast, with EUR 92,000 remaining at age 95.</w:t>
      </w:r>
    </w:p>
    <w:p>
      <w:pPr>
        <w:pStyle w:val="Heading2"/>
      </w:pPr>
      <w:r>
        <w:rPr>
          <w:b w:val="false"/>
          <w:bCs w:val="false"/>
        </w:rPr>
        <w:t xml:space="preserve">Key risks</w:t>
      </w:r>
    </w:p>
    <w:p>
      <w:r>
        <w:rPr>
          <w:b w:val="false"/>
          <w:bCs w:val="false"/>
        </w:rPr>
        <w:t xml:space="preserve">The result is most sensitive to the consultancy income continuing to age 65. If it stops at age 60, both scenarios show a shortfall from 2046.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2026-10-13T09:37:31.448Z</dcterms:created>
  <dcterms:modified xsi:type="dcterms:W3CDTF">2026-10-13T09:37:31.448Z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