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Epidemic</w:t>
      </w:r>
      <w:r>
        <w:t xml:space="preserve"> </w:t>
      </w:r>
      <w:r>
        <w:t xml:space="preserve">Structure</w:t>
      </w:r>
      <w:r>
        <w:t xml:space="preserve"> </w:t>
      </w:r>
      <w:r>
        <w:t xml:space="preserve">and</w:t>
      </w:r>
      <w:r>
        <w:t xml:space="preserve"> </w:t>
      </w:r>
      <w:r>
        <w:t xml:space="preserve">Predictive</w:t>
      </w:r>
      <w:r>
        <w:t xml:space="preserve"> </w:t>
      </w:r>
      <w:r>
        <w:t xml:space="preserve">Accuracy</w:t>
      </w:r>
      <w:r>
        <w:t xml:space="preserve"> </w:t>
      </w:r>
      <w:r>
        <w:t xml:space="preserve">of</w:t>
      </w:r>
      <w:r>
        <w:t xml:space="preserve"> </w:t>
      </w:r>
      <w:r>
        <w:t xml:space="preserve">Influenza</w:t>
      </w:r>
      <w:r>
        <w:t xml:space="preserve"> </w:t>
      </w:r>
      <w: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t xml:space="preserve">B: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Sub-Epidemic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Jake</w:t>
      </w:r>
      <w:r>
        <w:t xml:space="preserve"> </w:t>
      </w:r>
      <w:r>
        <w:t xml:space="preserve">Harmon</w:t>
      </w:r>
    </w:p>
    <w:bookmarkStart w:id="27" w:name="test"/>
    <w:p>
      <w:pPr>
        <w:pStyle w:val="Heading2"/>
      </w:pPr>
      <w:r>
        <w:t xml:space="preserve">Test</w:t>
      </w:r>
    </w:p>
    <w:p>
      <w:pPr>
        <w:pStyle w:val="FirstParagraph"/>
      </w:pPr>
      <w:r>
        <w:t xml:space="preserve">Test citation</w:t>
      </w:r>
      <w:r>
        <w:t xml:space="preserve"> </w:t>
      </w:r>
      <w:r>
        <w:t xml:space="preserve">(Brauer, Castillo-Chavez, and Feng 2019)</w:t>
      </w:r>
      <w:r>
        <w:t xml:space="preserve"> </w:t>
      </w:r>
      <w:r>
        <w:t xml:space="preserve">next</w:t>
      </w:r>
      <w:r>
        <w:t xml:space="preserve"> </w:t>
      </w:r>
      <w:r>
        <w:t xml:space="preserve">(Center for Disease Control and Prevention 2025)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1.5.2</w:t>
      </w:r>
      <w:r>
        <w:br/>
      </w:r>
      <w:r>
        <w:rPr>
          <w:rStyle w:val="VerbatimChar"/>
        </w:rPr>
        <w:t xml:space="preserve">✔ ggplot2   4.0.0     ✔ tibble    3.3.0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1.1.0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 </w:t>
      </w:r>
    </w:p>
    <w:p>
      <w:pPr>
        <w:pStyle w:val="SourceCode"/>
      </w:pPr>
      <w:r>
        <w:rPr>
          <w:rStyle w:val="VerbatimChar"/>
        </w:rPr>
        <w:t xml:space="preserve">Loading required package: viridisLite</w:t>
      </w:r>
    </w:p>
    <w:p>
      <w:pPr>
        <w:pStyle w:val="SourceCode"/>
      </w:pPr>
      <w:r>
        <w:rPr>
          <w:rStyle w:val="CommentTok"/>
        </w:rPr>
        <w:t xml:space="preserve"># Downloaded from https://gis.cdc.gov/grasp/fluview/FluHospChars.html</w:t>
      </w:r>
      <w:r>
        <w:br/>
      </w:r>
      <w:r>
        <w:rPr>
          <w:rStyle w:val="NormalTok"/>
        </w:rPr>
        <w:t xml:space="preserve">flu_df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"/data/Weekly_Data_Counts_by_Virus.csv"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"week_num"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"flu_a"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"flu_b"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"flu_ab"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"flu_u"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Warning: One or more parsing issues, call `problems()` on your data frame for details,</w:t>
      </w:r>
      <w:r>
        <w:br/>
      </w:r>
      <w:r>
        <w:rPr>
          <w:rStyle w:val="VerbatimChar"/>
        </w:rPr>
        <w:t xml:space="preserve">e.g.:</w:t>
      </w:r>
      <w:r>
        <w:br/>
      </w:r>
      <w:r>
        <w:rPr>
          <w:rStyle w:val="VerbatimChar"/>
        </w:rPr>
        <w:t xml:space="preserve">  dat &lt;- vroom(...)</w:t>
      </w:r>
      <w:r>
        <w:br/>
      </w:r>
      <w:r>
        <w:rPr>
          <w:rStyle w:val="VerbatimChar"/>
        </w:rPr>
        <w:t xml:space="preserve">  problems(dat)</w:t>
      </w:r>
    </w:p>
    <w:p>
      <w:pPr>
        <w:pStyle w:val="SourceCode"/>
      </w:pPr>
      <w:r>
        <w:rPr>
          <w:rStyle w:val="VerbatimChar"/>
        </w:rPr>
        <w:t xml:space="preserve">Rows: 696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SEASON, WEEK_NUMBER</w:t>
      </w:r>
      <w:r>
        <w:br/>
      </w:r>
      <w:r>
        <w:rPr>
          <w:rStyle w:val="VerbatimChar"/>
        </w:rPr>
        <w:t xml:space="preserve">dbl (4): INFLUENZA A, INFLUENZA B, INFLUENZA A AND B, UNKNOWN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For graphing</w:t>
      </w:r>
      <w:r>
        <w:br/>
      </w:r>
      <w:r>
        <w:rPr>
          <w:rStyle w:val="NormalTok"/>
        </w:rPr>
        <w:t xml:space="preserve">flu_time_series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(season, week_num),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(season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"2018-19"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flu_time_series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(flu_time_series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week_num,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(flu_time_series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week_num)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flu_time_series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(flu_time_series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week_num)</w:t>
      </w:r>
      <w:r>
        <w:br/>
      </w:r>
      <w:r>
        <w:br/>
      </w:r>
      <w:r>
        <w:rPr>
          <w:rStyle w:val="CommentTok"/>
        </w:rPr>
        <w:t xml:space="preserve"># Create timeseries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flu_time_series,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week_num,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flu))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"Weekly Influenza A/B Counts, 2018-2019 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"Flu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Weekly Hospitalizations"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"Virus Type"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"flu_a"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"Influenza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"flu_b"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"Influenza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"flu_ab"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"Influenza A&amp;B"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"flu_u"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"Influenza Unspecified"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fluenza_ab_manuscrip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fs"/>
    <w:bookmarkStart w:id="24" w:name="ref-brauerModelsInfluenza2019"/>
    <w:p>
      <w:pPr>
        <w:pStyle w:val="Bibliography"/>
      </w:pPr>
      <w:r>
        <w:t xml:space="preserve">Brauer, Fred, Carlos Castillo-Chavez, and Zhilan Feng. 2019.</w:t>
      </w:r>
      <w:r>
        <w:t xml:space="preserve"> </w:t>
      </w:r>
      <w:r>
        <w:t xml:space="preserve">“Models for</w:t>
      </w:r>
      <w:r>
        <w:t xml:space="preserve"> </w:t>
      </w:r>
      <w:r>
        <w:t xml:space="preserve">Influenza</w:t>
      </w:r>
      <w:r>
        <w:t xml:space="preserve">.”</w:t>
      </w:r>
      <w:r>
        <w:t xml:space="preserve"> </w:t>
      </w:r>
      <w:r>
        <w:rPr>
          <w:iCs/>
          <w:i/>
        </w:rPr>
        <w:t xml:space="preserve">Mathematical Models in Epidemiology</w:t>
      </w:r>
      <w:r>
        <w:t xml:space="preserve"> </w:t>
      </w:r>
      <w:r>
        <w:t xml:space="preserve">69 (June): 311–50.</w:t>
      </w:r>
      <w:r>
        <w:t xml:space="preserve"> </w:t>
      </w:r>
      <w:hyperlink r:id="rId23">
        <w:r>
          <w:rPr>
            <w:rStyle w:val="Hyperlink"/>
          </w:rPr>
          <w:t xml:space="preserve">https://doi.org/10.1007/978-1-4939-9828-9_9</w:t>
        </w:r>
      </w:hyperlink>
      <w:r>
        <w:t xml:space="preserve">.</w:t>
      </w:r>
    </w:p>
    <w:bookmarkEnd w:id="24"/>
    <w:bookmarkStart w:id="25" w:name="X19f12cc07bef605785de1288f2c70b752968a55"/>
    <w:p>
      <w:pPr>
        <w:pStyle w:val="Bibliography"/>
      </w:pPr>
      <w:r>
        <w:t xml:space="preserve">Center for Disease Control and Prevention. 2025.</w:t>
      </w:r>
      <w:r>
        <w:t xml:space="preserve"> </w:t>
      </w:r>
      <w:r>
        <w:t xml:space="preserve">“Laboratory-</w:t>
      </w:r>
      <w:r>
        <w:t xml:space="preserve">Confirmed Influenza Hospitalizations</w:t>
      </w:r>
      <w:r>
        <w:t xml:space="preserve">.”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doi.org/10.1007/978-1-4939-9828-9_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7/978-1-4939-9828-9_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Structure and Predictive Accuracy of Influenza A and B: Insights from Sub-Epidemic Modeling</dc:title>
  <dc:creator>Jake Harmon</dc:creator>
  <cp:keywords/>
  <dcterms:created xsi:type="dcterms:W3CDTF">2025-09-14T00:10:49Z</dcterms:created>
  <dcterms:modified xsi:type="dcterms:W3CDTF">2025-09-14T00:10:49Z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