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Two-Strain SIRV Model Specification</w:t>
      </w:r>
    </w:p>
    <w:p>
      <w:pPr>
        <w:pStyle w:val="Author"/>
      </w:pPr>
      <w:r>
        <w:t xml:space="preserve">Jake Harmon</w:t>
      </w:r>
    </w:p>
    <w:bookmarkStart w:id="20" w:name="introduction"/>
    <w:p>
      <w:pPr>
        <w:pStyle w:val="Heading2"/>
      </w:pPr>
      <w:r>
        <w:t xml:space="preserve">Introduction</w:t>
      </w:r>
    </w:p>
    <w:p>
      <w:pPr>
        <w:pStyle w:val="FirstParagraph"/>
      </w:pPr>
      <w:r>
        <w:t xml:space="preserve">Influenza in humans can come in two types - A and B - which are further divided into subtypes such as H1N1/H3N2 or Victoria/Yamagata respectively</w:t>
      </w:r>
      <w:r>
        <w:t xml:space="preserve"> </w:t>
      </w:r>
      <w:r>
        <w:t xml:space="preserve">(CDC 2025)</w:t>
      </w:r>
      <w:r>
        <w:t xml:space="preserve">. These subtypes come in various strains, which, compete with each other and subside as new strains emerge. This is theorized to occur because of novel antigen-responses producing cross-immunity against currently circulating viruses</w:t>
      </w:r>
      <w:r>
        <w:t xml:space="preserve"> </w:t>
      </w:r>
      <w:r>
        <w:t xml:space="preserve">(Palese and Wang 2011)</w:t>
      </w:r>
      <w:r>
        <w:t xml:space="preserve">. Following the COVID-19 Pandemic, global influenza surveillance systems have not detected meaningful circulation of B-Yamagata, thus leading to increased prevalence of IAV. As a result, the WHO changed its recommendations from quadrivalent to trivalent flu vaccines in 2023</w:t>
      </w:r>
      <w:r>
        <w:t xml:space="preserve"> </w:t>
      </w:r>
      <w:r>
        <w:t xml:space="preserve">(Del Riccio et al. 2025)</w:t>
      </w:r>
      <w:r>
        <w:t xml:space="preserve">.</w:t>
      </w:r>
    </w:p>
    <w:p>
      <w:pPr>
        <w:pStyle w:val="BodyText"/>
      </w:pPr>
      <w:r>
        <w:t xml:space="preserve">Influenza as a whole is a costly, contagious virus which in the United States results in over 300,000 annual hospitalizations as well as tens of thousands of death each year; a 2018 study estimated the annual cost to the American healthcare system to be $11.2 billion annually</w:t>
      </w:r>
      <w:r>
        <w:t xml:space="preserve"> </w:t>
      </w:r>
      <w:r>
        <w:t xml:space="preserve">(Putri et al. 2018)</w:t>
      </w:r>
      <w:r>
        <w:t xml:space="preserve">.</w:t>
      </w:r>
    </w:p>
    <w:p>
      <w:pPr>
        <w:pStyle w:val="BodyText"/>
      </w:pPr>
      <w:r>
        <w:t xml:space="preserve">Hospitalization generally arises from complications developed during the course of the illness. This is commonly due to preexisting respiratory conditions or others such immune, liver, or blood conditions; CDC reports that, in recent years, roughly nine out of ten hospitalized cases had at least one preexisting condition</w:t>
      </w:r>
      <w:r>
        <w:t xml:space="preserve"> </w:t>
      </w:r>
      <w:r>
        <w:t xml:space="preserve">(CDC 2025)</w:t>
      </w:r>
      <w:r>
        <w:t xml:space="preserve">. A meta analysis analyzing studies from both High Income and Low-Middle Income Countries found that children and young people were at significantly less risk than the elderly for hospitalization or severe outcomes such as ICU admittance or death</w:t>
      </w:r>
      <w:r>
        <w:t xml:space="preserve"> </w:t>
      </w:r>
      <w:r>
        <w:t xml:space="preserve">(Coleman et al. 2018)</w:t>
      </w:r>
      <w:r>
        <w:t xml:space="preserve">. Vaccines are effective at reducing the risk of complications across all age groups, although the efficacy varies based on the predominant viral subtypes as vaccines are formulated to only protect against the expected strands</w:t>
      </w:r>
      <w:r>
        <w:t xml:space="preserve"> </w:t>
      </w:r>
      <w:r>
        <w:t xml:space="preserve">(Trombetta et al. 2022)</w:t>
      </w:r>
      <w:r>
        <w:t xml:space="preserve">.</w:t>
      </w:r>
    </w:p>
    <w:p>
      <w:pPr>
        <w:pStyle w:val="BodyText"/>
      </w:pPr>
      <w:r>
        <w:t xml:space="preserve">Currently, a global effort is being led by the WHO to combat influenza by increasing surveillance and laboratory capacity, as well as by conducting effective vaccination campaigns</w:t>
      </w:r>
      <w:r>
        <w:t xml:space="preserve"> </w:t>
      </w:r>
      <w:r>
        <w:t xml:space="preserve">(CDC 2024a)</w:t>
      </w:r>
      <w:r>
        <w:t xml:space="preserve">. This international collaboration relies on nations freely sharing laboratory tests of strands to identify the prevalence of influenza subtypes across the world, as this information is passed onto vaccine manufacturers to produce effective vaccines. This system is fragile, and it is easily disrupted - as seen earlier in 2025 when, admist an H5N1 outbreak in America, CDC ceased sharing data with the WHO</w:t>
      </w:r>
      <w:r>
        <w:t xml:space="preserve"> </w:t>
      </w:r>
      <w:r>
        <w:t xml:space="preserve">(Maxmen 2025)</w:t>
      </w:r>
      <w:r>
        <w:t xml:space="preserve">. All further efforts against influenza rely on the free flow of data to develop effective vaccines as well as develop appropriate policy.</w:t>
      </w:r>
    </w:p>
    <w:p>
      <w:pPr>
        <w:pStyle w:val="BodyText"/>
      </w:pPr>
      <w:r>
        <w:t xml:space="preserve">Influenza forecasting can inform public health’s decision making capacity, even down to the local level by determining the warrant for school closures or optimizing placement of healthcare workers to deal with peaks of cases</w:t>
      </w:r>
      <w:r>
        <w:t xml:space="preserve"> </w:t>
      </w:r>
      <w:r>
        <w:t xml:space="preserve">(</w:t>
      </w:r>
      <w:r>
        <w:t xml:space="preserve">“Why</w:t>
      </w:r>
      <w:r>
        <w:t xml:space="preserve"> </w:t>
      </w:r>
      <w:r>
        <w:t xml:space="preserve">CDC Supports Flu Forecasting</w:t>
      </w:r>
      <w:r>
        <w:t xml:space="preserve"> </w:t>
      </w:r>
      <w:r>
        <w:t xml:space="preserve"> </w:t>
      </w:r>
      <w:r>
        <w:t xml:space="preserve">CDC</w:t>
      </w:r>
      <w:r>
        <w:t xml:space="preserve">”</w:t>
      </w:r>
      <w:r>
        <w:t xml:space="preserve"> </w:t>
      </w:r>
      <w:r>
        <w:t xml:space="preserve">2023)</w:t>
      </w:r>
      <w:r>
        <w:t xml:space="preserve">. A variety of forecasting efforts have been used in the past to inform early-response efforts, to various degrees of success. In 2013, Google Flu Trends attempted to predict influenza cases by harnessing the big data of symptom searches on Google, and yet its predictions invariably skewed higher than CDC data over 100/108 weeks</w:t>
      </w:r>
      <w:r>
        <w:t xml:space="preserve"> </w:t>
      </w:r>
      <w:r>
        <w:t xml:space="preserve">(Lazer et al. 2014)</w:t>
      </w:r>
      <w:r>
        <w:t xml:space="preserve">. During the same time period, CDC began the FluSight program, inviting academic partners to analyze ILINet data and compete to produce the most accurate forecast. This project has proved much more successful, although it was at times impacted by reporting delays</w:t>
      </w:r>
      <w:r>
        <w:t xml:space="preserve"> </w:t>
      </w:r>
      <w:r>
        <w:t xml:space="preserve">(Reich et al. 2019)</w:t>
      </w:r>
      <w:r>
        <w:t xml:space="preserve">.</w:t>
      </w:r>
    </w:p>
    <w:p>
      <w:pPr>
        <w:pStyle w:val="BodyText"/>
      </w:pPr>
      <w:r>
        <w:t xml:space="preserve">This paper looks to analyze the difference between Influenza A (IAV) and Influenza B (IBV) trends, as they have noted different temporalities in the United States, where IAV is noted to peak in December while IBV peaks around February. This can be seen especially in pediatric cases, where IBV resulted in ~ 40 % of deaths in the 2023-2024 flu season, all concentrated after January</w:t>
      </w:r>
      <w:r>
        <w:t xml:space="preserve"> </w:t>
      </w:r>
      <w:r>
        <w:t xml:space="preserve">(CDC 2024b)</w:t>
      </w:r>
      <w:r>
        <w:t xml:space="preserve">. This comes at a time as well when IBV has been varying in its temporality:</w:t>
      </w:r>
      <w:r>
        <w:t xml:space="preserve"> </w:t>
      </w:r>
      <w:r>
        <w:t xml:space="preserve">(Borchering et al. 2021)</w:t>
      </w:r>
      <w:r>
        <w:t xml:space="preserve">.</w:t>
      </w:r>
    </w:p>
    <w:p>
      <w:pPr>
        <w:pStyle w:val="BodyText"/>
      </w:pPr>
      <w:r>
        <w:t xml:space="preserve">Goal: analyze SIRC model - crossimunity</w:t>
      </w:r>
      <w:r>
        <w:t xml:space="preserve"> </w:t>
      </w:r>
      <w:r>
        <w:t xml:space="preserve">(Li and Guo, n.d.)</w:t>
      </w:r>
      <w:r>
        <w:t xml:space="preserve"> </w:t>
      </w:r>
      <w:r>
        <w:t xml:space="preserve">(Laurie et al. 2018)</w:t>
      </w:r>
      <w:r>
        <w:t xml:space="preserve"> </w:t>
      </w:r>
      <w:r>
        <w:t xml:space="preserve">B dynamics</w:t>
      </w:r>
    </w:p>
    <w:bookmarkEnd w:id="20"/>
    <w:bookmarkStart w:id="21" w:name="model-equations"/>
    <w:p>
      <w:pPr>
        <w:pStyle w:val="Heading2"/>
      </w:pPr>
      <w:r>
        <w:t xml:space="preserve">Model Equations</w:t>
      </w:r>
    </w:p>
    <w:p>
      <w:pPr>
        <w:pStyle w:val="FirstParagraph"/>
      </w:pPr>
      <w:r>
        <w:t xml:space="preserve">The two-strain SIRV model extends the susceptible-infectious-recovered framework to include simultaneous circulation of Influenza A and B. Each strain has its own infection and recovery flow, and the model introduces cross-immunity terms that reduce the susceptibility of individuals recovered from one strain to the other. A vaccination compartment allows a fraction of susceptibles to become removed at a rate that can vary by scenario.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d</m:t>
                    </m:r>
                    <m:r>
                      <m:t>S</m:t>
                    </m:r>
                  </m:num>
                  <m:den>
                    <m:r>
                      <m:t>d</m:t>
                    </m:r>
                    <m:r>
                      <m:t>t</m:t>
                    </m:r>
                  </m:den>
                </m:f>
              </m:e>
              <m:e>
                <m:r>
                  <m:rPr>
                    <m:sty m:val="p"/>
                  </m:rPr>
                  <m:t>=</m:t>
                </m:r>
                <m:r>
                  <m:t>Λ</m:t>
                </m:r>
                <m:r>
                  <m:rPr>
                    <m:sty m:val="p"/>
                  </m:rPr>
                  <m:t>−</m:t>
                </m:r>
                <m:f>
                  <m:fPr>
                    <m:type m:val="bar"/>
                  </m:fPr>
                  <m:num>
                    <m:sSub>
                      <m:e>
                        <m:r>
                          <m:t>β</m:t>
                        </m:r>
                      </m:e>
                      <m:sub>
                        <m:r>
                          <m:t>1</m:t>
                        </m:r>
                      </m:sub>
                    </m:sSub>
                    <m:r>
                      <m:t>S</m:t>
                    </m:r>
                    <m:sSub>
                      <m:e>
                        <m:r>
                          <m:t>I</m:t>
                        </m:r>
                      </m:e>
                      <m:sub>
                        <m:r>
                          <m:t>1</m:t>
                        </m:r>
                      </m:sub>
                    </m:sSub>
                  </m:num>
                  <m:den>
                    <m:sSub>
                      <m:e>
                        <m:r>
                          <m:t>N</m:t>
                        </m:r>
                      </m:e>
                      <m:sub>
                        <m:r>
                          <m:t>0</m:t>
                        </m:r>
                      </m:sub>
                    </m:sSub>
                  </m:den>
                </m:f>
                <m:r>
                  <m:rPr>
                    <m:sty m:val="p"/>
                  </m:rPr>
                  <m:t>−</m:t>
                </m:r>
                <m:f>
                  <m:fPr>
                    <m:type m:val="bar"/>
                  </m:fPr>
                  <m:num>
                    <m:sSub>
                      <m:e>
                        <m:r>
                          <m:t>β</m:t>
                        </m:r>
                      </m:e>
                      <m:sub>
                        <m:r>
                          <m:t>2</m:t>
                        </m:r>
                      </m:sub>
                    </m:sSub>
                    <m:r>
                      <m:t>S</m:t>
                    </m:r>
                    <m:sSub>
                      <m:e>
                        <m:r>
                          <m:t>I</m:t>
                        </m:r>
                      </m:e>
                      <m:sub>
                        <m:r>
                          <m:t>2</m:t>
                        </m:r>
                      </m:sub>
                    </m:sSub>
                  </m:num>
                  <m:den>
                    <m:sSub>
                      <m:e>
                        <m:r>
                          <m:t>N</m:t>
                        </m:r>
                      </m:e>
                      <m:sub>
                        <m:r>
                          <m:t>0</m:t>
                        </m:r>
                      </m:sub>
                    </m:sSub>
                  </m:den>
                </m:f>
                <m:r>
                  <m:rPr>
                    <m:sty m:val="p"/>
                  </m:rPr>
                  <m:t>−</m:t>
                </m:r>
                <m:r>
                  <m:t>α</m:t>
                </m:r>
                <m:r>
                  <m:t>S</m:t>
                </m:r>
                <m:r>
                  <m:rPr>
                    <m:sty m:val="p"/>
                  </m:rPr>
                  <m:t>−</m:t>
                </m:r>
                <m:r>
                  <m:t>μ</m:t>
                </m:r>
                <m:r>
                  <m:t>S</m:t>
                </m:r>
                <m:r>
                  <m:rPr>
                    <m:sty m:val="p"/>
                  </m:rPr>
                  <m:t>,</m:t>
                </m:r>
              </m:e>
            </m:mr>
            <m:mr>
              <m:e>
                <m:f>
                  <m:fPr>
                    <m:type m:val="bar"/>
                  </m:fPr>
                  <m:num>
                    <m:r>
                      <m:t>d</m:t>
                    </m:r>
                    <m:sSub>
                      <m:e>
                        <m:r>
                          <m:t>I</m:t>
                        </m:r>
                      </m:e>
                      <m:sub>
                        <m:r>
                          <m:t>1</m:t>
                        </m:r>
                      </m:sub>
                    </m:sSub>
                  </m:num>
                  <m:den>
                    <m:r>
                      <m:t>d</m:t>
                    </m:r>
                    <m:r>
                      <m:t>t</m:t>
                    </m:r>
                  </m:den>
                </m:f>
              </m:e>
              <m:e>
                <m:r>
                  <m:rPr>
                    <m:sty m:val="p"/>
                  </m:rPr>
                  <m:t>=</m:t>
                </m:r>
                <m:f>
                  <m:fPr>
                    <m:type m:val="bar"/>
                  </m:fPr>
                  <m:num>
                    <m:sSub>
                      <m:e>
                        <m:r>
                          <m:t>β</m:t>
                        </m:r>
                      </m:e>
                      <m:sub>
                        <m:r>
                          <m:t>1</m:t>
                        </m:r>
                      </m:sub>
                    </m:sSub>
                    <m:d>
                      <m:dPr>
                        <m:begChr m:val="("/>
                        <m:sepChr m:val=""/>
                        <m:endChr m:val=")"/>
                        <m:grow/>
                      </m:dPr>
                      <m:e>
                        <m:r>
                          <m:t>S</m:t>
                        </m:r>
                        <m:r>
                          <m:rPr>
                            <m:sty m:val="p"/>
                          </m:rPr>
                          <m:t>+</m:t>
                        </m:r>
                        <m:sSub>
                          <m:e>
                            <m:r>
                              <m:t>σ</m:t>
                            </m:r>
                          </m:e>
                          <m:sub>
                            <m:r>
                              <m:t>21</m:t>
                            </m:r>
                          </m:sub>
                        </m:sSub>
                        <m:sSub>
                          <m:e>
                            <m:r>
                              <m:t>R</m:t>
                            </m:r>
                          </m:e>
                          <m:sub>
                            <m:r>
                              <m:t>2</m:t>
                            </m:r>
                          </m:sub>
                        </m:sSub>
                      </m:e>
                    </m:d>
                    <m:sSub>
                      <m:e>
                        <m:r>
                          <m:t>I</m:t>
                        </m:r>
                      </m:e>
                      <m:sub>
                        <m:r>
                          <m:t>1</m:t>
                        </m:r>
                      </m:sub>
                    </m:sSub>
                  </m:num>
                  <m:den>
                    <m:sSub>
                      <m:e>
                        <m:r>
                          <m:t>N</m:t>
                        </m:r>
                      </m:e>
                      <m:sub>
                        <m:r>
                          <m:t>0</m:t>
                        </m:r>
                      </m:sub>
                    </m:sSub>
                  </m:den>
                </m:f>
                <m:r>
                  <m:rPr>
                    <m:sty m:val="p"/>
                  </m:rPr>
                  <m:t>−</m:t>
                </m:r>
                <m:d>
                  <m:dPr>
                    <m:begChr m:val="("/>
                    <m:sepChr m:val=""/>
                    <m:endChr m:val=")"/>
                    <m:grow/>
                  </m:dPr>
                  <m:e>
                    <m:r>
                      <m:t>μ</m:t>
                    </m:r>
                    <m:r>
                      <m:rPr>
                        <m:sty m:val="p"/>
                      </m:rPr>
                      <m:t>+</m:t>
                    </m:r>
                    <m:sSub>
                      <m:e>
                        <m:r>
                          <m:t>γ</m:t>
                        </m:r>
                      </m:e>
                      <m:sub>
                        <m:r>
                          <m:t>1</m:t>
                        </m:r>
                      </m:sub>
                    </m:sSub>
                  </m:e>
                </m:d>
                <m:sSub>
                  <m:e>
                    <m:r>
                      <m:t>I</m:t>
                    </m:r>
                  </m:e>
                  <m:sub>
                    <m:r>
                      <m:t>1</m:t>
                    </m:r>
                  </m:sub>
                </m:sSub>
                <m:r>
                  <m:rPr>
                    <m:sty m:val="p"/>
                  </m:rPr>
                  <m:t>,</m:t>
                </m:r>
              </m:e>
            </m:mr>
            <m:mr>
              <m:e>
                <m:f>
                  <m:fPr>
                    <m:type m:val="bar"/>
                  </m:fPr>
                  <m:num>
                    <m:r>
                      <m:t>d</m:t>
                    </m:r>
                    <m:sSub>
                      <m:e>
                        <m:r>
                          <m:t>I</m:t>
                        </m:r>
                      </m:e>
                      <m:sub>
                        <m:r>
                          <m:t>2</m:t>
                        </m:r>
                      </m:sub>
                    </m:sSub>
                  </m:num>
                  <m:den>
                    <m:r>
                      <m:t>d</m:t>
                    </m:r>
                    <m:r>
                      <m:t>t</m:t>
                    </m:r>
                  </m:den>
                </m:f>
              </m:e>
              <m:e>
                <m:r>
                  <m:rPr>
                    <m:sty m:val="p"/>
                  </m:rPr>
                  <m:t>=</m:t>
                </m:r>
                <m:f>
                  <m:fPr>
                    <m:type m:val="bar"/>
                  </m:fPr>
                  <m:num>
                    <m:sSub>
                      <m:e>
                        <m:r>
                          <m:t>β</m:t>
                        </m:r>
                      </m:e>
                      <m:sub>
                        <m:r>
                          <m:t>2</m:t>
                        </m:r>
                      </m:sub>
                    </m:sSub>
                    <m:d>
                      <m:dPr>
                        <m:begChr m:val="("/>
                        <m:sepChr m:val=""/>
                        <m:endChr m:val=")"/>
                        <m:grow/>
                      </m:dPr>
                      <m:e>
                        <m:r>
                          <m:t>S</m:t>
                        </m:r>
                        <m:r>
                          <m:rPr>
                            <m:sty m:val="p"/>
                          </m:rPr>
                          <m:t>+</m:t>
                        </m:r>
                        <m:sSub>
                          <m:e>
                            <m:r>
                              <m:t>σ</m:t>
                            </m:r>
                          </m:e>
                          <m:sub>
                            <m:r>
                              <m:t>12</m:t>
                            </m:r>
                          </m:sub>
                        </m:sSub>
                        <m:sSub>
                          <m:e>
                            <m:r>
                              <m:t>R</m:t>
                            </m:r>
                          </m:e>
                          <m:sub>
                            <m:r>
                              <m:t>1</m:t>
                            </m:r>
                          </m:sub>
                        </m:sSub>
                      </m:e>
                    </m:d>
                    <m:sSub>
                      <m:e>
                        <m:r>
                          <m:t>I</m:t>
                        </m:r>
                      </m:e>
                      <m:sub>
                        <m:r>
                          <m:t>2</m:t>
                        </m:r>
                      </m:sub>
                    </m:sSub>
                  </m:num>
                  <m:den>
                    <m:sSub>
                      <m:e>
                        <m:r>
                          <m:t>N</m:t>
                        </m:r>
                      </m:e>
                      <m:sub>
                        <m:r>
                          <m:t>0</m:t>
                        </m:r>
                      </m:sub>
                    </m:sSub>
                  </m:den>
                </m:f>
                <m:r>
                  <m:rPr>
                    <m:sty m:val="p"/>
                  </m:rPr>
                  <m:t>−</m:t>
                </m:r>
                <m:d>
                  <m:dPr>
                    <m:begChr m:val="("/>
                    <m:sepChr m:val=""/>
                    <m:endChr m:val=")"/>
                    <m:grow/>
                  </m:dPr>
                  <m:e>
                    <m:r>
                      <m:t>μ</m:t>
                    </m:r>
                    <m:r>
                      <m:rPr>
                        <m:sty m:val="p"/>
                      </m:rPr>
                      <m:t>+</m:t>
                    </m:r>
                    <m:sSub>
                      <m:e>
                        <m:r>
                          <m:t>γ</m:t>
                        </m:r>
                      </m:e>
                      <m:sub>
                        <m:r>
                          <m:t>2</m:t>
                        </m:r>
                      </m:sub>
                    </m:sSub>
                  </m:e>
                </m:d>
                <m:sSub>
                  <m:e>
                    <m:r>
                      <m:t>I</m:t>
                    </m:r>
                  </m:e>
                  <m:sub>
                    <m:r>
                      <m:t>2</m:t>
                    </m:r>
                  </m:sub>
                </m:sSub>
                <m:r>
                  <m:rPr>
                    <m:sty m:val="p"/>
                  </m:rPr>
                  <m:t>,</m:t>
                </m:r>
              </m:e>
            </m:mr>
            <m:mr>
              <m:e>
                <m:f>
                  <m:fPr>
                    <m:type m:val="bar"/>
                  </m:fPr>
                  <m:num>
                    <m:r>
                      <m:t>d</m:t>
                    </m:r>
                    <m:sSub>
                      <m:e>
                        <m:r>
                          <m:t>R</m:t>
                        </m:r>
                      </m:e>
                      <m:sub>
                        <m:r>
                          <m:t>1</m:t>
                        </m:r>
                      </m:sub>
                    </m:sSub>
                  </m:num>
                  <m:den>
                    <m:r>
                      <m:t>d</m:t>
                    </m:r>
                    <m:r>
                      <m:t>t</m:t>
                    </m:r>
                  </m:den>
                </m:f>
              </m:e>
              <m:e>
                <m:r>
                  <m:rPr>
                    <m:sty m:val="p"/>
                  </m:rPr>
                  <m:t>=</m:t>
                </m:r>
                <m:sSub>
                  <m:e>
                    <m:r>
                      <m:t>γ</m:t>
                    </m:r>
                  </m:e>
                  <m:sub>
                    <m:r>
                      <m:t>1</m:t>
                    </m:r>
                  </m:sub>
                </m:sSub>
                <m:sSub>
                  <m:e>
                    <m:r>
                      <m:t>I</m:t>
                    </m:r>
                  </m:e>
                  <m:sub>
                    <m:r>
                      <m:t>1</m:t>
                    </m:r>
                  </m:sub>
                </m:sSub>
                <m:r>
                  <m:rPr>
                    <m:sty m:val="p"/>
                  </m:rPr>
                  <m:t>−</m:t>
                </m:r>
                <m:r>
                  <m:t>μ</m:t>
                </m:r>
                <m:sSub>
                  <m:e>
                    <m:r>
                      <m:t>R</m:t>
                    </m:r>
                  </m:e>
                  <m:sub>
                    <m:r>
                      <m:t>1</m:t>
                    </m:r>
                  </m:sub>
                </m:sSub>
                <m:r>
                  <m:rPr>
                    <m:sty m:val="p"/>
                  </m:rPr>
                  <m:t>,</m:t>
                </m:r>
              </m:e>
            </m:mr>
            <m:mr>
              <m:e>
                <m:f>
                  <m:fPr>
                    <m:type m:val="bar"/>
                  </m:fPr>
                  <m:num>
                    <m:r>
                      <m:t>d</m:t>
                    </m:r>
                    <m:sSub>
                      <m:e>
                        <m:r>
                          <m:t>R</m:t>
                        </m:r>
                      </m:e>
                      <m:sub>
                        <m:r>
                          <m:t>2</m:t>
                        </m:r>
                      </m:sub>
                    </m:sSub>
                  </m:num>
                  <m:den>
                    <m:r>
                      <m:t>d</m:t>
                    </m:r>
                    <m:r>
                      <m:t>t</m:t>
                    </m:r>
                  </m:den>
                </m:f>
              </m:e>
              <m:e>
                <m:r>
                  <m:rPr>
                    <m:sty m:val="p"/>
                  </m:rPr>
                  <m:t>=</m:t>
                </m:r>
                <m:sSub>
                  <m:e>
                    <m:r>
                      <m:t>γ</m:t>
                    </m:r>
                  </m:e>
                  <m:sub>
                    <m:r>
                      <m:t>2</m:t>
                    </m:r>
                  </m:sub>
                </m:sSub>
                <m:sSub>
                  <m:e>
                    <m:r>
                      <m:t>I</m:t>
                    </m:r>
                  </m:e>
                  <m:sub>
                    <m:r>
                      <m:t>2</m:t>
                    </m:r>
                  </m:sub>
                </m:sSub>
                <m:r>
                  <m:rPr>
                    <m:sty m:val="p"/>
                  </m:rPr>
                  <m:t>−</m:t>
                </m:r>
                <m:r>
                  <m:t>μ</m:t>
                </m:r>
                <m:sSub>
                  <m:e>
                    <m:r>
                      <m:t>R</m:t>
                    </m:r>
                  </m:e>
                  <m:sub>
                    <m:r>
                      <m:t>2</m:t>
                    </m:r>
                  </m:sub>
                </m:sSub>
                <m:r>
                  <m:rPr>
                    <m:sty m:val="p"/>
                  </m:rPr>
                  <m:t>,</m:t>
                </m:r>
              </m:e>
            </m:mr>
            <m:mr>
              <m:e>
                <m:f>
                  <m:fPr>
                    <m:type m:val="bar"/>
                  </m:fPr>
                  <m:num>
                    <m:r>
                      <m:t>d</m:t>
                    </m:r>
                    <m:r>
                      <m:t>V</m:t>
                    </m:r>
                  </m:num>
                  <m:den>
                    <m:r>
                      <m:t>d</m:t>
                    </m:r>
                    <m:r>
                      <m:t>t</m:t>
                    </m:r>
                  </m:den>
                </m:f>
              </m:e>
              <m:e>
                <m:r>
                  <m:rPr>
                    <m:sty m:val="p"/>
                  </m:rPr>
                  <m:t>=</m:t>
                </m:r>
                <m:r>
                  <m:t>α</m:t>
                </m:r>
                <m:r>
                  <m:t>S</m:t>
                </m:r>
                <m:r>
                  <m:rPr>
                    <m:sty m:val="p"/>
                  </m:rPr>
                  <m:t>−</m:t>
                </m:r>
                <m:r>
                  <m:t>μ</m:t>
                </m:r>
                <m:r>
                  <m:t>V</m:t>
                </m:r>
                <m:r>
                  <m:rPr>
                    <m:sty m:val="p"/>
                  </m:rPr>
                  <m:t>.</m:t>
                </m:r>
              </m:e>
            </m:mr>
          </m:m>
        </m:oMath>
      </m:oMathPara>
    </w:p>
    <w:p>
      <w:pPr>
        <w:pStyle w:val="FirstParagraph"/>
      </w:pPr>
      <w:r>
        <w:rPr>
          <w:b/>
          <w:bCs/>
        </w:rPr>
        <w:t xml:space="preserve">Julia Structural Identifiability</w:t>
      </w:r>
    </w:p>
    <w:p>
      <w:pPr>
        <w:pStyle w:val="BodyText"/>
      </w:pPr>
      <w:r>
        <w:t xml:space="preserve">Before estimating parameters or interpreting model outputs, it is necessary to determine whether the parameters can, in principle, be uniquely identified from the available data. The structural identifiability analysis conducted in Julia tests (CITE CHOWELL JULIA) which parameters can be recovered given perfect observations of the system. Parameters that are globally identifiable can be estimated reliably, while non-identifiable parameters may need to be fixed or constrained by prior information. The resulting table summarizes the identifiability status of all model components, providing confidence that the quantities of interest—particularly transmission and recovery rates—can be meaningfully interpreted when fitted to surveillance data.</w:t>
      </w:r>
    </w:p>
    <w:p>
      <w:pPr>
        <w:pStyle w:val="TableCaption"/>
      </w:pPr>
      <w:r>
        <w:t xml:space="preserve">Final Global Identifiability Assessment for SIRV Model</w:t>
      </w:r>
    </w:p>
    <w:tbl>
      <w:tblPr>
        <w:tblStyle w:val="Table"/>
        <w:tblW w:type="auto" w:w="0"/>
        <w:tblLook w:firstRow="1" w:lastRow="0" w:firstColumn="0" w:lastColumn="0" w:noHBand="0" w:noVBand="0" w:val="0020"/>
        <w:tblCaption w:val="Final Global Identifiability Assessment for SIRV Model"/>
      </w:tblPr>
      <w:tblGrid>
        <w:gridCol w:w="2640"/>
        <w:gridCol w:w="2640"/>
        <w:gridCol w:w="2640"/>
      </w:tblGrid>
      <w:tr>
        <w:trPr>
          <w:tblHeader w:val="on"/>
        </w:trPr>
        <w:tc>
          <w:tcPr/>
          <w:p>
            <w:pPr>
              <w:pStyle w:val="Compact"/>
            </w:pPr>
          </w:p>
        </w:tc>
        <w:tc>
          <w:tcPr/>
          <w:p>
            <w:pPr>
              <w:pStyle w:val="Compact"/>
              <w:jc w:val="left"/>
            </w:pPr>
            <w:r>
              <w:t xml:space="preserve">Component (State/Parameter)</w:t>
            </w:r>
          </w:p>
        </w:tc>
        <w:tc>
          <w:tcPr/>
          <w:p>
            <w:pPr>
              <w:pStyle w:val="Compact"/>
              <w:jc w:val="left"/>
            </w:pPr>
            <w:r>
              <w:t xml:space="preserve">Identifiability Status</w:t>
            </w:r>
          </w:p>
        </w:tc>
      </w:tr>
      <w:tr>
        <w:tc>
          <w:tcPr/>
          <w:p>
            <w:pPr>
              <w:pStyle w:val="Compact"/>
              <w:jc w:val="left"/>
            </w:pPr>
            <w:r>
              <w:t xml:space="preserve">S(t)</w:t>
            </w:r>
          </w:p>
        </w:tc>
        <w:tc>
          <w:tcPr/>
          <w:p>
            <w:pPr>
              <w:pStyle w:val="Compact"/>
              <w:jc w:val="left"/>
            </w:pPr>
            <w:r>
              <w:t xml:space="preserve">S(t)</w:t>
            </w:r>
          </w:p>
        </w:tc>
        <w:tc>
          <w:tcPr/>
          <w:p>
            <w:pPr>
              <w:pStyle w:val="Compact"/>
              <w:jc w:val="left"/>
            </w:pPr>
            <w:r>
              <w:t xml:space="preserve">Globally</w:t>
            </w:r>
          </w:p>
        </w:tc>
      </w:tr>
      <w:tr>
        <w:tc>
          <w:tcPr/>
          <w:p>
            <w:pPr>
              <w:pStyle w:val="Compact"/>
              <w:jc w:val="left"/>
            </w:pPr>
            <w:r>
              <w:t xml:space="preserve">I₁(t)</w:t>
            </w:r>
          </w:p>
        </w:tc>
        <w:tc>
          <w:tcPr/>
          <w:p>
            <w:pPr>
              <w:pStyle w:val="Compact"/>
              <w:jc w:val="left"/>
            </w:pPr>
            <w:r>
              <w:t xml:space="preserve">I₁(t)</w:t>
            </w:r>
          </w:p>
        </w:tc>
        <w:tc>
          <w:tcPr/>
          <w:p>
            <w:pPr>
              <w:pStyle w:val="Compact"/>
              <w:jc w:val="left"/>
            </w:pPr>
            <w:r>
              <w:t xml:space="preserve">Globally</w:t>
            </w:r>
          </w:p>
        </w:tc>
      </w:tr>
      <w:tr>
        <w:tc>
          <w:tcPr/>
          <w:p>
            <w:pPr>
              <w:pStyle w:val="Compact"/>
              <w:jc w:val="left"/>
            </w:pPr>
            <w:r>
              <w:t xml:space="preserve">I₂(t)</w:t>
            </w:r>
          </w:p>
        </w:tc>
        <w:tc>
          <w:tcPr/>
          <w:p>
            <w:pPr>
              <w:pStyle w:val="Compact"/>
              <w:jc w:val="left"/>
            </w:pPr>
            <w:r>
              <w:t xml:space="preserve">I₂(t)</w:t>
            </w:r>
          </w:p>
        </w:tc>
        <w:tc>
          <w:tcPr/>
          <w:p>
            <w:pPr>
              <w:pStyle w:val="Compact"/>
              <w:jc w:val="left"/>
            </w:pPr>
            <w:r>
              <w:t xml:space="preserve">Globally</w:t>
            </w:r>
          </w:p>
        </w:tc>
      </w:tr>
      <w:tr>
        <w:tc>
          <w:tcPr/>
          <w:p>
            <w:pPr>
              <w:pStyle w:val="Compact"/>
              <w:jc w:val="left"/>
            </w:pPr>
            <w:r>
              <w:t xml:space="preserve">R₁(t)</w:t>
            </w:r>
          </w:p>
        </w:tc>
        <w:tc>
          <w:tcPr/>
          <w:p>
            <w:pPr>
              <w:pStyle w:val="Compact"/>
              <w:jc w:val="left"/>
            </w:pPr>
            <w:r>
              <w:t xml:space="preserve">R₁(t)</w:t>
            </w:r>
          </w:p>
        </w:tc>
        <w:tc>
          <w:tcPr/>
          <w:p>
            <w:pPr>
              <w:pStyle w:val="Compact"/>
              <w:jc w:val="left"/>
            </w:pPr>
            <w:r>
              <w:t xml:space="preserve">Globally</w:t>
            </w:r>
          </w:p>
        </w:tc>
      </w:tr>
      <w:tr>
        <w:tc>
          <w:tcPr/>
          <w:p>
            <w:pPr>
              <w:pStyle w:val="Compact"/>
              <w:jc w:val="left"/>
            </w:pPr>
            <w:r>
              <w:t xml:space="preserve">R₂(t)</w:t>
            </w:r>
          </w:p>
        </w:tc>
        <w:tc>
          <w:tcPr/>
          <w:p>
            <w:pPr>
              <w:pStyle w:val="Compact"/>
              <w:jc w:val="left"/>
            </w:pPr>
            <w:r>
              <w:t xml:space="preserve">R₂(t)</w:t>
            </w:r>
          </w:p>
        </w:tc>
        <w:tc>
          <w:tcPr/>
          <w:p>
            <w:pPr>
              <w:pStyle w:val="Compact"/>
              <w:jc w:val="left"/>
            </w:pPr>
            <w:r>
              <w:t xml:space="preserve">Globally</w:t>
            </w:r>
          </w:p>
        </w:tc>
      </w:tr>
      <w:tr>
        <w:tc>
          <w:tcPr/>
          <w:p>
            <w:pPr>
              <w:pStyle w:val="Compact"/>
              <w:jc w:val="left"/>
            </w:pPr>
            <w:r>
              <w:t xml:space="preserve">V(t)</w:t>
            </w:r>
          </w:p>
        </w:tc>
        <w:tc>
          <w:tcPr/>
          <w:p>
            <w:pPr>
              <w:pStyle w:val="Compact"/>
              <w:jc w:val="left"/>
            </w:pPr>
            <w:r>
              <w:t xml:space="preserve">V(t)</w:t>
            </w:r>
          </w:p>
        </w:tc>
        <w:tc>
          <w:tcPr/>
          <w:p>
            <w:pPr>
              <w:pStyle w:val="Compact"/>
              <w:jc w:val="left"/>
            </w:pPr>
            <w:r>
              <w:t xml:space="preserve">Globally</w:t>
            </w:r>
          </w:p>
        </w:tc>
      </w:tr>
      <w:tr>
        <w:tc>
          <w:tcPr/>
          <w:p>
            <w:pPr>
              <w:pStyle w:val="Compact"/>
              <w:jc w:val="left"/>
            </w:pPr>
            <w:r>
              <w:t xml:space="preserve">N₀</w:t>
            </w:r>
          </w:p>
        </w:tc>
        <w:tc>
          <w:tcPr/>
          <w:p>
            <w:pPr>
              <w:pStyle w:val="Compact"/>
              <w:jc w:val="left"/>
            </w:pPr>
            <w:r>
              <w:t xml:space="preserve">N₀</w:t>
            </w:r>
          </w:p>
        </w:tc>
        <w:tc>
          <w:tcPr/>
          <w:p>
            <w:pPr>
              <w:pStyle w:val="Compact"/>
              <w:jc w:val="left"/>
            </w:pPr>
            <w:r>
              <w:t xml:space="preserve">Nonidentifiable</w:t>
            </w:r>
          </w:p>
        </w:tc>
      </w:tr>
      <w:tr>
        <w:tc>
          <w:tcPr/>
          <w:p>
            <w:pPr>
              <w:pStyle w:val="Compact"/>
              <w:jc w:val="left"/>
            </w:pPr>
            <w:r>
              <w:t xml:space="preserve">beta_1</w:t>
            </w:r>
          </w:p>
        </w:tc>
        <w:tc>
          <w:tcPr/>
          <w:p>
            <w:pPr>
              <w:pStyle w:val="Compact"/>
              <w:jc w:val="left"/>
            </w:pPr>
            <w:r>
              <w:t xml:space="preserve">beta_1</w:t>
            </w:r>
          </w:p>
        </w:tc>
        <w:tc>
          <w:tcPr/>
          <w:p>
            <w:pPr>
              <w:pStyle w:val="Compact"/>
              <w:jc w:val="left"/>
            </w:pPr>
            <w:r>
              <w:t xml:space="preserve">Nonidentifiable</w:t>
            </w:r>
          </w:p>
        </w:tc>
      </w:tr>
      <w:tr>
        <w:tc>
          <w:tcPr/>
          <w:p>
            <w:pPr>
              <w:pStyle w:val="Compact"/>
              <w:jc w:val="left"/>
            </w:pPr>
            <w:r>
              <w:t xml:space="preserve">beta_2</w:t>
            </w:r>
          </w:p>
        </w:tc>
        <w:tc>
          <w:tcPr/>
          <w:p>
            <w:pPr>
              <w:pStyle w:val="Compact"/>
              <w:jc w:val="left"/>
            </w:pPr>
            <w:r>
              <w:t xml:space="preserve">beta_2</w:t>
            </w:r>
          </w:p>
        </w:tc>
        <w:tc>
          <w:tcPr/>
          <w:p>
            <w:pPr>
              <w:pStyle w:val="Compact"/>
              <w:jc w:val="left"/>
            </w:pPr>
            <w:r>
              <w:t xml:space="preserve">Nonidentifiable</w:t>
            </w:r>
          </w:p>
        </w:tc>
      </w:tr>
      <w:tr>
        <w:tc>
          <w:tcPr/>
          <w:p>
            <w:pPr>
              <w:pStyle w:val="Compact"/>
              <w:jc w:val="left"/>
            </w:pPr>
            <w:r>
              <w:t xml:space="preserve">p</w:t>
            </w:r>
          </w:p>
        </w:tc>
        <w:tc>
          <w:tcPr/>
          <w:p>
            <w:pPr>
              <w:pStyle w:val="Compact"/>
              <w:jc w:val="left"/>
            </w:pPr>
            <w:r>
              <w:t xml:space="preserve">p</w:t>
            </w:r>
          </w:p>
        </w:tc>
        <w:tc>
          <w:tcPr/>
          <w:p>
            <w:pPr>
              <w:pStyle w:val="Compact"/>
              <w:jc w:val="left"/>
            </w:pPr>
            <w:r>
              <w:t xml:space="preserve">Globally</w:t>
            </w:r>
          </w:p>
        </w:tc>
      </w:tr>
      <w:tr>
        <w:tc>
          <w:tcPr/>
          <w:p>
            <w:pPr>
              <w:pStyle w:val="Compact"/>
              <w:jc w:val="left"/>
            </w:pPr>
            <w:r>
              <w:t xml:space="preserve">sigma_12</w:t>
            </w:r>
          </w:p>
        </w:tc>
        <w:tc>
          <w:tcPr/>
          <w:p>
            <w:pPr>
              <w:pStyle w:val="Compact"/>
              <w:jc w:val="left"/>
            </w:pPr>
            <w:r>
              <w:t xml:space="preserve">sigma_12</w:t>
            </w:r>
          </w:p>
        </w:tc>
        <w:tc>
          <w:tcPr/>
          <w:p>
            <w:pPr>
              <w:pStyle w:val="Compact"/>
              <w:jc w:val="left"/>
            </w:pPr>
            <w:r>
              <w:t xml:space="preserve">Globally</w:t>
            </w:r>
          </w:p>
        </w:tc>
      </w:tr>
      <w:tr>
        <w:tc>
          <w:tcPr/>
          <w:p>
            <w:pPr>
              <w:pStyle w:val="Compact"/>
              <w:jc w:val="left"/>
            </w:pPr>
            <w:r>
              <w:t xml:space="preserve">sigma_21</w:t>
            </w:r>
          </w:p>
        </w:tc>
        <w:tc>
          <w:tcPr/>
          <w:p>
            <w:pPr>
              <w:pStyle w:val="Compact"/>
              <w:jc w:val="left"/>
            </w:pPr>
            <w:r>
              <w:t xml:space="preserve">sigma_21</w:t>
            </w:r>
          </w:p>
        </w:tc>
        <w:tc>
          <w:tcPr/>
          <w:p>
            <w:pPr>
              <w:pStyle w:val="Compact"/>
              <w:jc w:val="left"/>
            </w:pPr>
            <w:r>
              <w:t xml:space="preserve">Globally</w:t>
            </w:r>
          </w:p>
        </w:tc>
      </w:tr>
      <w:tr>
        <w:tc>
          <w:tcPr/>
          <w:p>
            <w:pPr>
              <w:pStyle w:val="Compact"/>
              <w:jc w:val="left"/>
            </w:pPr>
            <w:r>
              <w:t xml:space="preserve">Λ</w:t>
            </w:r>
          </w:p>
        </w:tc>
        <w:tc>
          <w:tcPr/>
          <w:p>
            <w:pPr>
              <w:pStyle w:val="Compact"/>
              <w:jc w:val="left"/>
            </w:pPr>
            <w:r>
              <w:t xml:space="preserve">Λ</w:t>
            </w:r>
          </w:p>
        </w:tc>
        <w:tc>
          <w:tcPr/>
          <w:p>
            <w:pPr>
              <w:pStyle w:val="Compact"/>
              <w:jc w:val="left"/>
            </w:pPr>
            <w:r>
              <w:t xml:space="preserve">Globally</w:t>
            </w:r>
          </w:p>
        </w:tc>
      </w:tr>
      <w:tr>
        <w:tc>
          <w:tcPr/>
          <w:p>
            <w:pPr>
              <w:pStyle w:val="Compact"/>
              <w:jc w:val="left"/>
            </w:pPr>
            <w:r>
              <w:t xml:space="preserve">α</w:t>
            </w:r>
          </w:p>
        </w:tc>
        <w:tc>
          <w:tcPr/>
          <w:p>
            <w:pPr>
              <w:pStyle w:val="Compact"/>
              <w:jc w:val="left"/>
            </w:pPr>
            <w:r>
              <w:t xml:space="preserve">α</w:t>
            </w:r>
          </w:p>
        </w:tc>
        <w:tc>
          <w:tcPr/>
          <w:p>
            <w:pPr>
              <w:pStyle w:val="Compact"/>
              <w:jc w:val="left"/>
            </w:pPr>
            <w:r>
              <w:t xml:space="preserve">Globally</w:t>
            </w:r>
          </w:p>
        </w:tc>
      </w:tr>
      <w:tr>
        <w:tc>
          <w:tcPr/>
          <w:p>
            <w:pPr>
              <w:pStyle w:val="Compact"/>
              <w:jc w:val="left"/>
            </w:pPr>
            <w:r>
              <w:t xml:space="preserve">γ₁</w:t>
            </w:r>
          </w:p>
        </w:tc>
        <w:tc>
          <w:tcPr/>
          <w:p>
            <w:pPr>
              <w:pStyle w:val="Compact"/>
              <w:jc w:val="left"/>
            </w:pPr>
            <w:r>
              <w:t xml:space="preserve">γ₁</w:t>
            </w:r>
          </w:p>
        </w:tc>
        <w:tc>
          <w:tcPr/>
          <w:p>
            <w:pPr>
              <w:pStyle w:val="Compact"/>
              <w:jc w:val="left"/>
            </w:pPr>
            <w:r>
              <w:t xml:space="preserve">Globally</w:t>
            </w:r>
          </w:p>
        </w:tc>
      </w:tr>
      <w:tr>
        <w:tc>
          <w:tcPr/>
          <w:p>
            <w:pPr>
              <w:pStyle w:val="Compact"/>
              <w:jc w:val="left"/>
            </w:pPr>
            <w:r>
              <w:t xml:space="preserve">γ₂</w:t>
            </w:r>
          </w:p>
        </w:tc>
        <w:tc>
          <w:tcPr/>
          <w:p>
            <w:pPr>
              <w:pStyle w:val="Compact"/>
              <w:jc w:val="left"/>
            </w:pPr>
            <w:r>
              <w:t xml:space="preserve">γ₂</w:t>
            </w:r>
          </w:p>
        </w:tc>
        <w:tc>
          <w:tcPr/>
          <w:p>
            <w:pPr>
              <w:pStyle w:val="Compact"/>
              <w:jc w:val="left"/>
            </w:pPr>
            <w:r>
              <w:t xml:space="preserve">Globally</w:t>
            </w:r>
          </w:p>
        </w:tc>
      </w:tr>
      <w:tr>
        <w:tc>
          <w:tcPr/>
          <w:p>
            <w:pPr>
              <w:pStyle w:val="Compact"/>
              <w:jc w:val="left"/>
            </w:pPr>
            <w:r>
              <w:t xml:space="preserve">μ</w:t>
            </w:r>
          </w:p>
        </w:tc>
        <w:tc>
          <w:tcPr/>
          <w:p>
            <w:pPr>
              <w:pStyle w:val="Compact"/>
              <w:jc w:val="left"/>
            </w:pPr>
            <w:r>
              <w:t xml:space="preserve">μ</w:t>
            </w:r>
          </w:p>
        </w:tc>
        <w:tc>
          <w:tcPr/>
          <w:p>
            <w:pPr>
              <w:pStyle w:val="Compact"/>
              <w:jc w:val="left"/>
            </w:pPr>
            <w:r>
              <w:t xml:space="preserve">Globally</w:t>
            </w:r>
          </w:p>
        </w:tc>
      </w:tr>
    </w:tbl>
    <w:bookmarkEnd w:id="21"/>
    <w:bookmarkStart w:id="22" w:name="model-parameters"/>
    <w:p>
      <w:pPr>
        <w:pStyle w:val="Heading2"/>
      </w:pPr>
      <w:r>
        <w:t xml:space="preserve">Model Parameters</w:t>
      </w:r>
    </w:p>
    <w:p>
      <w:pPr>
        <w:pStyle w:val="FirstParagraph"/>
      </w:pPr>
      <w:r>
        <w:t xml:space="preserve">Parameter definitions and prior distributions are grounded in existing epidemiological literature and demographic data. Transmission rates are assigned lognormal priors centered around values consistent with reproduction numbers reported for typical influenza seasons. Recovery rates correspond to infectious periods of approximately three to five days. The natural mortality rate is fixed to reflect standard demographic turnover, while vaccination rates are set to match observed U.S. coverage levels of roughly forty to sixty percent per year. The reporting fraction accounts for under-ascertainment of clinical cases in surveillance data. Together, these parameters establish biologically realistic starting conditions for simulation and inference.</w:t>
      </w:r>
    </w:p>
    <w:p>
      <w:pPr>
        <w:pStyle w:val="TableCaption"/>
      </w:pPr>
      <w:r>
        <w:t xml:space="preserve">Model Parameter Mapping, Priors, and Sources</w:t>
      </w:r>
    </w:p>
    <w:tbl>
      <w:tblPr>
        <w:tblStyle w:val="Table"/>
        <w:tblW w:type="pct" w:w="5000"/>
        <w:tblLayout w:type="fixed"/>
        <w:tblLook w:firstRow="1" w:lastRow="0" w:firstColumn="0" w:lastColumn="0" w:noHBand="0" w:noVBand="0" w:val="0020"/>
        <w:tblCaption w:val="Model Parameter Mapping, Priors, and Sources"/>
      </w:tblPr>
      <w:tblGrid>
        <w:gridCol w:w="1599"/>
        <w:gridCol w:w="1446"/>
        <w:gridCol w:w="2284"/>
        <w:gridCol w:w="2589"/>
      </w:tblGrid>
      <w:tr>
        <w:trPr>
          <w:tblHeader w:val="on"/>
        </w:trPr>
        <w:tc>
          <w:tcPr/>
          <w:p>
            <w:pPr>
              <w:pStyle w:val="Compact"/>
              <w:jc w:val="left"/>
            </w:pPr>
            <w:r>
              <w:t xml:space="preserve">ODE Parameter</w:t>
            </w:r>
          </w:p>
        </w:tc>
        <w:tc>
          <w:tcPr/>
          <w:p>
            <w:pPr>
              <w:pStyle w:val="Compact"/>
              <w:jc w:val="left"/>
            </w:pPr>
            <w:r>
              <w:t xml:space="preserve">Description</w:t>
            </w:r>
          </w:p>
        </w:tc>
        <w:tc>
          <w:tcPr/>
          <w:p>
            <w:pPr>
              <w:pStyle w:val="Compact"/>
              <w:jc w:val="left"/>
            </w:pPr>
            <w:r>
              <w:t xml:space="preserve">Prior Distribution</w:t>
            </w:r>
          </w:p>
        </w:tc>
        <w:tc>
          <w:tcPr/>
          <w:p>
            <w:pPr>
              <w:pStyle w:val="Compact"/>
              <w:jc w:val="left"/>
            </w:pPr>
            <w:r>
              <w:t xml:space="preserve">Citation / Source</w:t>
            </w:r>
          </w:p>
        </w:tc>
      </w:tr>
      <w:tr>
        <w:tc>
          <w:tcPr/>
          <w:p>
            <w:pPr>
              <w:pStyle w:val="Compact"/>
              <w:jc w:val="left"/>
            </w:pPr>
            <m:oMath>
              <m:r>
                <m:t>Λ</m:t>
              </m:r>
            </m:oMath>
          </w:p>
        </w:tc>
        <w:tc>
          <w:tcPr/>
          <w:p>
            <w:pPr>
              <w:pStyle w:val="Compact"/>
              <w:jc w:val="left"/>
            </w:pPr>
            <w:r>
              <w:t xml:space="preserve">Birth/Inflow Rate</w:t>
            </w:r>
          </w:p>
        </w:tc>
        <w:tc>
          <w:tcPr/>
          <w:p>
            <w:pPr>
              <w:pStyle w:val="Compact"/>
              <w:jc w:val="left"/>
            </w:pPr>
            <w:r>
              <w:t xml:space="preserve">Fixed at 0</w:t>
            </w:r>
          </w:p>
        </w:tc>
        <w:tc>
          <w:tcPr/>
          <w:p>
            <w:pPr>
              <w:pStyle w:val="Compact"/>
              <w:jc w:val="left"/>
            </w:pPr>
            <w:r>
              <w:t xml:space="preserve">Fixed (Keeling &amp; Rohani, 2008)</w:t>
            </w:r>
          </w:p>
        </w:tc>
      </w:tr>
      <w:tr>
        <w:tc>
          <w:tcPr/>
          <w:p>
            <w:pPr>
              <w:pStyle w:val="Compact"/>
              <w:jc w:val="left"/>
            </w:pPr>
            <m:oMath>
              <m:sSub>
                <m:e>
                  <m:r>
                    <m:t>β</m:t>
                  </m:r>
                </m:e>
                <m:sub>
                  <m:r>
                    <m:t>1</m:t>
                  </m:r>
                </m:sub>
              </m:sSub>
              <m:r>
                <m:rPr>
                  <m:sty m:val="p"/>
                </m:rPr>
                <m:t>,</m:t>
              </m:r>
              <m:sSub>
                <m:e>
                  <m:r>
                    <m:t>β</m:t>
                  </m:r>
                </m:e>
                <m:sub>
                  <m:r>
                    <m:t>2</m:t>
                  </m:r>
                </m:sub>
              </m:sSub>
            </m:oMath>
          </w:p>
        </w:tc>
        <w:tc>
          <w:tcPr/>
          <w:p>
            <w:pPr>
              <w:pStyle w:val="Compact"/>
              <w:jc w:val="left"/>
            </w:pPr>
            <w:r>
              <w:t xml:space="preserve">Transmission Rates</w:t>
            </w:r>
          </w:p>
        </w:tc>
        <w:tc>
          <w:tcPr/>
          <w:p>
            <w:pPr>
              <w:pStyle w:val="Compact"/>
              <w:jc w:val="left"/>
            </w:pPr>
            <w:r>
              <w:t xml:space="preserve">lognormal(log(0.4), 0.5)</w:t>
            </w:r>
          </w:p>
        </w:tc>
        <w:tc>
          <w:tcPr/>
          <w:p>
            <w:pPr>
              <w:pStyle w:val="Compact"/>
              <w:jc w:val="left"/>
            </w:pPr>
            <w:r>
              <w:t xml:space="preserve">Biggerstaff et al. (2014)</w:t>
            </w:r>
          </w:p>
        </w:tc>
      </w:tr>
      <w:tr>
        <w:tc>
          <w:tcPr/>
          <w:p>
            <w:pPr>
              <w:pStyle w:val="Compact"/>
              <w:jc w:val="left"/>
            </w:pPr>
            <m:oMath>
              <m:r>
                <m:t>μ</m:t>
              </m:r>
            </m:oMath>
          </w:p>
        </w:tc>
        <w:tc>
          <w:tcPr/>
          <w:p>
            <w:pPr>
              <w:pStyle w:val="Compact"/>
              <w:jc w:val="left"/>
            </w:pPr>
            <w:r>
              <w:t xml:space="preserve">Natural Death Rate</w:t>
            </w:r>
          </w:p>
        </w:tc>
        <w:tc>
          <w:tcPr/>
          <w:p>
            <w:pPr>
              <w:pStyle w:val="Compact"/>
              <w:jc w:val="left"/>
            </w:pPr>
            <w:r>
              <w:t xml:space="preserve">Fixed at</w:t>
            </w:r>
            <w:r>
              <w:t xml:space="preserve"> </w:t>
            </w:r>
            <m:oMath>
              <m:r>
                <m:t>3.9</m:t>
              </m:r>
              <m:sSup>
                <m:e>
                  <m:r>
                    <m:rPr>
                      <m:sty m:val="p"/>
                    </m:rPr>
                    <m:t>e</m:t>
                  </m:r>
                </m:e>
                <m:sup>
                  <m:r>
                    <m:rPr>
                      <m:sty m:val="p"/>
                    </m:rPr>
                    <m:t>−</m:t>
                  </m:r>
                  <m:r>
                    <m:t>5</m:t>
                  </m:r>
                </m:sup>
              </m:sSup>
            </m:oMath>
          </w:p>
        </w:tc>
        <w:tc>
          <w:tcPr/>
          <w:p>
            <w:pPr>
              <w:pStyle w:val="Compact"/>
              <w:jc w:val="left"/>
            </w:pPr>
            <w:r>
              <w:t xml:space="preserve">Standard Demographics (e.g., CDC)</w:t>
            </w:r>
          </w:p>
        </w:tc>
      </w:tr>
      <w:tr>
        <w:tc>
          <w:tcPr/>
          <w:p>
            <w:pPr>
              <w:pStyle w:val="Compact"/>
              <w:jc w:val="left"/>
            </w:pPr>
            <m:oMath>
              <m:sSub>
                <m:e>
                  <m:r>
                    <m:t>γ</m:t>
                  </m:r>
                </m:e>
                <m:sub>
                  <m:r>
                    <m:t>1</m:t>
                  </m:r>
                </m:sub>
              </m:sSub>
              <m:r>
                <m:rPr>
                  <m:sty m:val="p"/>
                </m:rPr>
                <m:t>,</m:t>
              </m:r>
              <m:sSub>
                <m:e>
                  <m:r>
                    <m:t>γ</m:t>
                  </m:r>
                </m:e>
                <m:sub>
                  <m:r>
                    <m:t>2</m:t>
                  </m:r>
                </m:sub>
              </m:sSub>
            </m:oMath>
          </w:p>
        </w:tc>
        <w:tc>
          <w:tcPr/>
          <w:p>
            <w:pPr>
              <w:pStyle w:val="Compact"/>
              <w:jc w:val="left"/>
            </w:pPr>
            <w:r>
              <w:t xml:space="preserve">Recovery Rates</w:t>
            </w:r>
          </w:p>
        </w:tc>
        <w:tc>
          <w:tcPr/>
          <w:p>
            <w:pPr>
              <w:pStyle w:val="Compact"/>
              <w:jc w:val="left"/>
            </w:pPr>
            <w:r>
              <w:t xml:space="preserve">normal(0.25, 0.05)T[0,]</w:t>
            </w:r>
          </w:p>
        </w:tc>
        <w:tc>
          <w:tcPr/>
          <w:p>
            <w:pPr>
              <w:pStyle w:val="Compact"/>
              <w:jc w:val="left"/>
            </w:pPr>
            <w:r>
              <w:t xml:space="preserve">Carrat et al. (2008)</w:t>
            </w:r>
          </w:p>
        </w:tc>
      </w:tr>
      <w:tr>
        <w:tc>
          <w:tcPr/>
          <w:p>
            <w:pPr>
              <w:pStyle w:val="Compact"/>
              <w:jc w:val="left"/>
            </w:pPr>
            <m:oMath>
              <m:r>
                <m:t>ν</m:t>
              </m:r>
            </m:oMath>
          </w:p>
        </w:tc>
        <w:tc>
          <w:tcPr/>
          <w:p>
            <w:pPr>
              <w:pStyle w:val="Compact"/>
              <w:jc w:val="left"/>
            </w:pPr>
            <w:r>
              <w:t xml:space="preserve">Vaccination Rate</w:t>
            </w:r>
          </w:p>
        </w:tc>
        <w:tc>
          <w:tcPr/>
          <w:p>
            <w:pPr>
              <w:pStyle w:val="Compact"/>
              <w:jc w:val="left"/>
            </w:pPr>
            <w:r>
              <w:t xml:space="preserve">normal(0.0019, 0.0006)T[0,]</w:t>
            </w:r>
          </w:p>
        </w:tc>
        <w:tc>
          <w:tcPr/>
          <w:p>
            <w:pPr>
              <w:pStyle w:val="Compact"/>
              <w:jc w:val="left"/>
            </w:pPr>
            <w:r>
              <w:t xml:space="preserve">CDC (2024)</w:t>
            </w:r>
          </w:p>
        </w:tc>
      </w:tr>
      <w:tr>
        <w:tc>
          <w:tcPr/>
          <w:p>
            <w:pPr>
              <w:pStyle w:val="Compact"/>
              <w:jc w:val="left"/>
            </w:pPr>
            <m:oMath>
              <m:sSub>
                <m:e>
                  <m:r>
                    <m:t>N</m:t>
                  </m:r>
                </m:e>
                <m:sub>
                  <m:r>
                    <m:t>0</m:t>
                  </m:r>
                </m:sub>
              </m:sSub>
            </m:oMath>
          </w:p>
        </w:tc>
        <w:tc>
          <w:tcPr/>
          <w:p>
            <w:pPr>
              <w:pStyle w:val="Compact"/>
              <w:jc w:val="left"/>
            </w:pPr>
            <w:r>
              <w:t xml:space="preserve">Initial Population</w:t>
            </w:r>
          </w:p>
        </w:tc>
        <w:tc>
          <w:tcPr/>
          <w:p>
            <w:pPr>
              <w:pStyle w:val="Compact"/>
              <w:jc w:val="left"/>
            </w:pPr>
            <w:r>
              <w:t xml:space="preserve">Fixed at</w:t>
            </w:r>
            <w:r>
              <w:t xml:space="preserve"> </w:t>
            </w:r>
            <m:oMath>
              <m:r>
                <m:t>1</m:t>
              </m:r>
              <m:sSup>
                <m:e>
                  <m:r>
                    <m:rPr>
                      <m:sty m:val="p"/>
                    </m:rPr>
                    <m:t>e</m:t>
                  </m:r>
                </m:e>
                <m:sup>
                  <m:r>
                    <m:t>6</m:t>
                  </m:r>
                </m:sup>
              </m:sSup>
            </m:oMath>
          </w:p>
        </w:tc>
        <w:tc>
          <w:tcPr/>
          <w:p>
            <w:pPr>
              <w:pStyle w:val="Compact"/>
              <w:jc w:val="left"/>
            </w:pPr>
            <w:r>
              <w:t xml:space="preserve">Fixed Constant</w:t>
            </w:r>
          </w:p>
        </w:tc>
      </w:tr>
      <w:tr>
        <w:tc>
          <w:tcPr/>
          <w:p>
            <w:pPr>
              <w:pStyle w:val="Compact"/>
              <w:jc w:val="left"/>
            </w:pPr>
            <m:oMath>
              <m:sSub>
                <m:e>
                  <m:r>
                    <m:t>I</m:t>
                  </m:r>
                </m:e>
                <m:sub>
                  <m:r>
                    <m:t>0</m:t>
                  </m:r>
                </m:sub>
              </m:sSub>
            </m:oMath>
          </w:p>
        </w:tc>
        <w:tc>
          <w:tcPr/>
          <w:p>
            <w:pPr>
              <w:pStyle w:val="Compact"/>
              <w:jc w:val="left"/>
            </w:pPr>
            <w:r>
              <w:t xml:space="preserve">Initial Infected</w:t>
            </w:r>
          </w:p>
        </w:tc>
        <w:tc>
          <w:tcPr/>
          <w:p>
            <w:pPr>
              <w:pStyle w:val="Compact"/>
              <w:jc w:val="left"/>
            </w:pPr>
            <w:r>
              <w:t xml:space="preserve">lognormal(log(10), 1.0)</w:t>
            </w:r>
          </w:p>
        </w:tc>
        <w:tc>
          <w:tcPr/>
          <w:p>
            <w:pPr>
              <w:pStyle w:val="Compact"/>
              <w:jc w:val="left"/>
            </w:pPr>
            <w:r>
              <w:t xml:space="preserve">Initial Condition (Fitted)</w:t>
            </w:r>
          </w:p>
        </w:tc>
      </w:tr>
      <w:tr>
        <w:tc>
          <w:tcPr/>
          <w:p>
            <w:pPr>
              <w:pStyle w:val="Compact"/>
              <w:jc w:val="left"/>
            </w:pPr>
            <m:oMath>
              <m:r>
                <m:t>ρ</m:t>
              </m:r>
            </m:oMath>
          </w:p>
        </w:tc>
        <w:tc>
          <w:tcPr/>
          <w:p>
            <w:pPr>
              <w:pStyle w:val="Compact"/>
              <w:jc w:val="left"/>
            </w:pPr>
            <w:r>
              <w:t xml:space="preserve">Reporting Fraction</w:t>
            </w:r>
          </w:p>
        </w:tc>
        <w:tc>
          <w:tcPr/>
          <w:p>
            <w:pPr>
              <w:pStyle w:val="Compact"/>
              <w:jc w:val="left"/>
            </w:pPr>
            <w:r>
              <w:t xml:space="preserve">beta(2, 4)</w:t>
            </w:r>
          </w:p>
        </w:tc>
        <w:tc>
          <w:tcPr/>
          <w:p>
            <w:pPr>
              <w:pStyle w:val="Compact"/>
              <w:jc w:val="left"/>
            </w:pPr>
            <w:r>
              <w:t xml:space="preserve">McCarthy et al. (2020)</w:t>
            </w:r>
          </w:p>
        </w:tc>
      </w:tr>
    </w:tbl>
    <w:p>
      <w:pPr>
        <w:pStyle w:val="BodyText"/>
      </w:pPr>
      <w:r>
        <w:rPr>
          <w:b/>
          <w:bCs/>
        </w:rPr>
        <w:t xml:space="preserve">Composite expressions: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t>R</m:t>
                    </m:r>
                  </m:e>
                  <m:sub>
                    <m:r>
                      <m:t>0</m:t>
                    </m:r>
                    <m:r>
                      <m:rPr>
                        <m:sty m:val="p"/>
                      </m:rPr>
                      <m:t>,</m:t>
                    </m:r>
                    <m:r>
                      <m:t>1</m:t>
                    </m:r>
                  </m:sub>
                </m:sSub>
              </m:e>
              <m:e>
                <m:r>
                  <m:rPr>
                    <m:sty m:val="p"/>
                  </m:rPr>
                  <m:t>=</m:t>
                </m:r>
                <m:f>
                  <m:fPr>
                    <m:type m:val="bar"/>
                  </m:fPr>
                  <m:num>
                    <m:sSub>
                      <m:e>
                        <m:r>
                          <m:t>β</m:t>
                        </m:r>
                      </m:e>
                      <m:sub>
                        <m:r>
                          <m:t>1</m:t>
                        </m:r>
                      </m:sub>
                    </m:sSub>
                  </m:num>
                  <m:den>
                    <m:sSub>
                      <m:e>
                        <m:r>
                          <m:t>γ</m:t>
                        </m:r>
                      </m:e>
                      <m:sub>
                        <m:r>
                          <m:t>1</m:t>
                        </m:r>
                      </m:sub>
                    </m:sSub>
                    <m:r>
                      <m:rPr>
                        <m:sty m:val="p"/>
                      </m:rPr>
                      <m:t>+</m:t>
                    </m:r>
                    <m:sSub>
                      <m:e>
                        <m:r>
                          <m:t>δ</m:t>
                        </m:r>
                      </m:e>
                      <m:sub>
                        <m:r>
                          <m:t>1</m:t>
                        </m:r>
                      </m:sub>
                    </m:sSub>
                    <m:r>
                      <m:rPr>
                        <m:sty m:val="p"/>
                      </m:rPr>
                      <m:t>+</m:t>
                    </m:r>
                    <m:r>
                      <m:t>μ</m:t>
                    </m:r>
                  </m:den>
                </m:f>
                <m:r>
                  <m:rPr>
                    <m:sty m:val="p"/>
                  </m:rPr>
                  <m:t>,</m:t>
                </m:r>
              </m:e>
            </m:mr>
            <m:mr>
              <m:e>
                <m:sSub>
                  <m:e>
                    <m:r>
                      <m:t>R</m:t>
                    </m:r>
                  </m:e>
                  <m:sub>
                    <m:r>
                      <m:t>0</m:t>
                    </m:r>
                    <m:r>
                      <m:rPr>
                        <m:sty m:val="p"/>
                      </m:rPr>
                      <m:t>,</m:t>
                    </m:r>
                    <m:r>
                      <m:t>2</m:t>
                    </m:r>
                  </m:sub>
                </m:sSub>
              </m:e>
              <m:e>
                <m:r>
                  <m:rPr>
                    <m:sty m:val="p"/>
                  </m:rPr>
                  <m:t>=</m:t>
                </m:r>
                <m:f>
                  <m:fPr>
                    <m:type m:val="bar"/>
                  </m:fPr>
                  <m:num>
                    <m:sSub>
                      <m:e>
                        <m:r>
                          <m:t>β</m:t>
                        </m:r>
                      </m:e>
                      <m:sub>
                        <m:r>
                          <m:t>2</m:t>
                        </m:r>
                      </m:sub>
                    </m:sSub>
                  </m:num>
                  <m:den>
                    <m:sSub>
                      <m:e>
                        <m:r>
                          <m:t>γ</m:t>
                        </m:r>
                      </m:e>
                      <m:sub>
                        <m:r>
                          <m:t>2</m:t>
                        </m:r>
                      </m:sub>
                    </m:sSub>
                    <m:r>
                      <m:rPr>
                        <m:sty m:val="p"/>
                      </m:rPr>
                      <m:t>+</m:t>
                    </m:r>
                    <m:sSub>
                      <m:e>
                        <m:r>
                          <m:t>δ</m:t>
                        </m:r>
                      </m:e>
                      <m:sub>
                        <m:r>
                          <m:t>2</m:t>
                        </m:r>
                      </m:sub>
                    </m:sSub>
                    <m:r>
                      <m:rPr>
                        <m:sty m:val="p"/>
                      </m:rPr>
                      <m:t>+</m:t>
                    </m:r>
                    <m:r>
                      <m:t>μ</m:t>
                    </m:r>
                  </m:den>
                </m:f>
                <m:r>
                  <m:rPr>
                    <m:sty m:val="p"/>
                  </m:rPr>
                  <m:t>,</m:t>
                </m:r>
              </m:e>
            </m:mr>
            <m:mr>
              <m:e>
                <m:r>
                  <m:rPr>
                    <m:nor/>
                    <m:sty m:val="p"/>
                  </m:rPr>
                  <m:t>VaccinationRate</m:t>
                </m:r>
              </m:e>
              <m:e>
                <m:r>
                  <m:rPr>
                    <m:sty m:val="p"/>
                  </m:rPr>
                  <m:t>=</m:t>
                </m:r>
                <m:sSub>
                  <m:e>
                    <m:r>
                      <m:t>δ</m:t>
                    </m:r>
                  </m:e>
                  <m:sub>
                    <m:r>
                      <m:t>1</m:t>
                    </m:r>
                  </m:sub>
                </m:sSub>
                <m:r>
                  <m:rPr>
                    <m:sty m:val="p"/>
                  </m:rPr>
                  <m:t>+</m:t>
                </m:r>
                <m:sSub>
                  <m:e>
                    <m:r>
                      <m:t>δ</m:t>
                    </m:r>
                  </m:e>
                  <m:sub>
                    <m:r>
                      <m:t>2</m:t>
                    </m:r>
                  </m:sub>
                </m:sSub>
              </m:e>
            </m:mr>
          </m:m>
        </m:oMath>
      </m:oMathPara>
    </w:p>
    <w:bookmarkEnd w:id="22"/>
    <w:bookmarkStart w:id="23" w:name="baseline-scenario"/>
    <w:p>
      <w:pPr>
        <w:pStyle w:val="Heading2"/>
      </w:pPr>
      <w:r>
        <w:t xml:space="preserve">Baseline Scenario</w:t>
      </w:r>
    </w:p>
    <w:p>
      <w:pPr>
        <w:pStyle w:val="FirstParagraph"/>
      </w:pPr>
      <w:r>
        <w:rPr>
          <w:b/>
          <w:bCs/>
        </w:rPr>
        <w:t xml:space="preserve">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calibration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lower_bound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upper_bound</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beta1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beta2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gamma1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4.29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gamma2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3.17</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phi1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phi2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w:t>
            </w:r>
          </w:p>
        </w:tc>
      </w:tr>
    </w:tbl>
    <w:p>
      <w:pPr>
        <w:pStyle w:val="BodyText"/>
      </w:pPr>
      <w:r>
        <w:rPr>
          <w:b/>
          <w:bCs/>
        </w:rPr>
        <w:t xml:space="preserve">Performance Metrics - Influenza 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Calibration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Forecasting</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1,214.82353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16,278.90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3,626,012.23529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288,618,406.50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799.00492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16,255.25</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Coverage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70.58824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r>
    </w:tbl>
    <w:p>
      <w:pPr>
        <w:pStyle w:val="BodyText"/>
      </w:pPr>
      <w:r>
        <w:rPr>
          <w:b/>
          <w:bCs/>
        </w:rPr>
        <w:t xml:space="preserve">Performance Metrics - Influenza 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Calibration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Forecasting</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457.64706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4,367.500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406,369.79412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21,117,612.500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281.50302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4,366.794</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Coverage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70.58824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w:t>
            </w:r>
          </w:p>
        </w:tc>
      </w:tr>
    </w:tbl>
    <w:bookmarkEnd w:id="23"/>
    <w:bookmarkStart w:id="27" w:name="varying-vaccination-scenarios"/>
    <w:p>
      <w:pPr>
        <w:pStyle w:val="Heading2"/>
      </w:pPr>
      <w:r>
        <w:t xml:space="preserve">Varying Vaccination scenarios</w:t>
      </w:r>
    </w:p>
    <w:p>
      <w:pPr>
        <w:pStyle w:val="FirstParagraph"/>
      </w:pPr>
      <w:r>
        <w:t xml:space="preserve">Four vaccination scenarios were generated to examine how coverage levels influence epidemic outcomes: no vaccination, low vaccination, moderate (half) vaccination, and high vaccination. For each scenario, the model was run using priors to generate distributions of trajectories for the two strains. From these simulations, the median and ninety-five percent credible intervals were computed for the number of infectious individuals over time. The resulting files summarize uncertainty in the epidemic trajectories and provide the basis for comparing the magnitude and timing of epidemic peaks across scenarios. Differences between Influenza A and B peaks indicate how varying levels of immune protection and vaccination shift epidemic dynamics.</w:t>
      </w:r>
    </w:p>
    <w:p>
      <w:pPr>
        <w:pStyle w:val="SourceCode"/>
      </w:pPr>
      <w:r>
        <w:rPr>
          <w:rStyle w:val="VerbatimChar"/>
        </w:rPr>
        <w:t xml:space="preserve">Found scenario folders:</w:t>
      </w:r>
    </w:p>
    <w:p>
      <w:pPr>
        <w:pStyle w:val="SourceCode"/>
      </w:pPr>
      <w:r>
        <w:rPr>
          <w:rStyle w:val="VerbatimChar"/>
        </w:rPr>
        <w:t xml:space="preserve">[1] "/Users/jake/Documents/PH8280_id_modeling/manuscript/data/BayesianFitForecast/output/prior-solution-scenario_one_half_vaccination"</w:t>
      </w:r>
      <w:r>
        <w:br/>
      </w:r>
      <w:r>
        <w:rPr>
          <w:rStyle w:val="VerbatimChar"/>
        </w:rPr>
        <w:t xml:space="preserve">[2] "/Users/jake/Documents/PH8280_id_modeling/manuscript/data/BayesianFitForecast/output/prior-solution-scenario_one_high_vaccination"</w:t>
      </w:r>
      <w:r>
        <w:br/>
      </w:r>
      <w:r>
        <w:rPr>
          <w:rStyle w:val="VerbatimChar"/>
        </w:rPr>
        <w:t xml:space="preserve">[3] "/Users/jake/Documents/PH8280_id_modeling/manuscript/data/BayesianFitForecast/output/prior-solution-scenario_one_low_vaccination" </w:t>
      </w:r>
      <w:r>
        <w:br/>
      </w:r>
      <w:r>
        <w:rPr>
          <w:rStyle w:val="VerbatimChar"/>
        </w:rPr>
        <w:t xml:space="preserve">[4] "/Users/jake/Documents/PH8280_id_modeling/manuscript/data/BayesianFitForecast/output/prior-solution-scenario_one_no_vaccination"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38"/>
        <w:gridCol w:w="1842"/>
        <w:gridCol w:w="1732"/>
        <w:gridCol w:w="1842"/>
        <w:gridCol w:w="1732"/>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I1_peak_value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I1_peak_time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I2_peak_value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I2_peak_time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prior-solution-scenario_one_half_vaccination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8,762.787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2,772.965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prior-solution-scenario_one_high_vaccination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7,312.655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1,762.588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prior-solution-scenario_one_low_vaccination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9,190.804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3,479.072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r>
      <w:tr>
        <w:trPr>
          <w:trHeight w:val="61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prior-solution-scenario_one_no_vaccination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12,444.377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5,819.774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r>
    </w:tbl>
    <w:p>
      <w:pPr>
        <w:pStyle w:val="FirstParagraph"/>
      </w:pPr>
      <w:r>
        <w:drawing>
          <wp:inline>
            <wp:extent cx="5334000" cy="3048000"/>
            <wp:effectExtent b="0" l="0" r="0" t="0"/>
            <wp:docPr descr="" title="" id="25" name="Picture"/>
            <a:graphic>
              <a:graphicData uri="http://schemas.openxmlformats.org/drawingml/2006/picture">
                <pic:pic>
                  <pic:nvPicPr>
                    <pic:cNvPr descr="bayes_flu_manuscript_files/figure-docx/plot-peak-values-1.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bookmarkEnd w:id="27"/>
    <w:bookmarkStart w:id="28" w:name="discussion"/>
    <w:p>
      <w:pPr>
        <w:pStyle w:val="Heading2"/>
      </w:pPr>
      <w:r>
        <w:t xml:space="preserve">Discussion</w:t>
      </w:r>
    </w:p>
    <w:p>
      <w:pPr>
        <w:pStyle w:val="FirstParagraph"/>
      </w:pPr>
      <w:r>
        <w:t xml:space="preserve">The scenario analysis illustrates the potential for vaccination and immune interference to modulate multi-strain influenza dynamics. Under low or absent vaccination, both strains can circulate concurrently, but increasing vaccine coverage reduces the amplitude of the first strain and delays or suppresses the second. This aligns with empirical observations of diminished Influenza B activity during seasons with strong vaccination uptake and cross-protective immunity. While the model simplifies several biological processes, it captures key features of influenza’s alternating dominance and highlights the importance of sustained vaccination coverage in preventing overlapping epidemics. Future work could extend this framework by incorporating waning immunity, age structure, and strain-specific vaccine efficacy to better reflect real-world heterogeneity.</w:t>
      </w:r>
    </w:p>
    <w:bookmarkEnd w:id="28"/>
    <w:bookmarkStart w:id="54" w:name="citations"/>
    <w:p>
      <w:pPr>
        <w:pStyle w:val="Heading2"/>
      </w:pPr>
      <w:r>
        <w:t xml:space="preserve">Citations</w:t>
      </w:r>
    </w:p>
    <w:bookmarkStart w:id="53" w:name="refs"/>
    <w:bookmarkStart w:id="30" w:name="Xbbfc91cb8d9302e5d96646e5d525e79e5023094"/>
    <w:p>
      <w:pPr>
        <w:pStyle w:val="Bibliography"/>
      </w:pPr>
      <w:r>
        <w:t xml:space="preserve">Borchering, Rebecca K., Christian E. Gunning, Deven V. Gokhale, K. Bodie Weedop, Arash Saeidpour, Tobias S. Brett, and Pejman Rohani. 2021.</w:t>
      </w:r>
      <w:r>
        <w:t xml:space="preserve"> </w:t>
      </w:r>
      <w:r>
        <w:t xml:space="preserve">“Anomalous Influenza Seasonality in the</w:t>
      </w:r>
      <w:r>
        <w:t xml:space="preserve"> </w:t>
      </w:r>
      <w:r>
        <w:t xml:space="preserve">United States</w:t>
      </w:r>
      <w:r>
        <w:t xml:space="preserve"> </w:t>
      </w:r>
      <w:r>
        <w:t xml:space="preserve">and the Emergence of Novel Influenza</w:t>
      </w:r>
      <w:r>
        <w:t xml:space="preserve"> </w:t>
      </w:r>
      <w:r>
        <w:t xml:space="preserve">B</w:t>
      </w:r>
      <w:r>
        <w:t xml:space="preserve"> </w:t>
      </w:r>
      <w:r>
        <w:t xml:space="preserve">Viruses.”</w:t>
      </w:r>
      <w:r>
        <w:t xml:space="preserve"> </w:t>
      </w:r>
      <w:r>
        <w:rPr>
          <w:i/>
          <w:iCs/>
        </w:rPr>
        <w:t xml:space="preserve">Proceedings of the National Academy of Sciences of the United States of America</w:t>
      </w:r>
      <w:r>
        <w:t xml:space="preserve"> </w:t>
      </w:r>
      <w:r>
        <w:t xml:space="preserve">118 (5): e2012327118.</w:t>
      </w:r>
      <w:r>
        <w:t xml:space="preserve"> </w:t>
      </w:r>
      <w:hyperlink r:id="rId29">
        <w:r>
          <w:rPr>
            <w:rStyle w:val="Hyperlink"/>
          </w:rPr>
          <w:t xml:space="preserve">https://doi.org/10.1073/pnas.2012327118</w:t>
        </w:r>
      </w:hyperlink>
      <w:r>
        <w:t xml:space="preserve">.</w:t>
      </w:r>
    </w:p>
    <w:bookmarkEnd w:id="30"/>
    <w:bookmarkStart w:id="31" w:name="ref-cdcCDCsGlobalInfluenza2024"/>
    <w:p>
      <w:pPr>
        <w:pStyle w:val="Bibliography"/>
      </w:pPr>
      <w:r>
        <w:t xml:space="preserve">CDC. 2024a.</w:t>
      </w:r>
      <w:r>
        <w:t xml:space="preserve"> </w:t>
      </w:r>
      <w:r>
        <w:t xml:space="preserve">“About</w:t>
      </w:r>
      <w:r>
        <w:t xml:space="preserve"> </w:t>
      </w:r>
      <w:r>
        <w:t xml:space="preserve">CDC</w:t>
      </w:r>
      <w:r>
        <w:t xml:space="preserve">’s</w:t>
      </w:r>
      <w:r>
        <w:t xml:space="preserve"> </w:t>
      </w:r>
      <w:r>
        <w:t xml:space="preserve">Global Influenza Program</w:t>
      </w:r>
      <w:r>
        <w:t xml:space="preserve">.”</w:t>
      </w:r>
      <w:r>
        <w:t xml:space="preserve"> </w:t>
      </w:r>
      <w:r>
        <w:rPr>
          <w:i/>
          <w:iCs/>
        </w:rPr>
        <w:t xml:space="preserve">Global Influenza</w:t>
      </w:r>
      <w:r>
        <w:t xml:space="preserve">. https://www.cdc.gov/flu-global/about/index.html.</w:t>
      </w:r>
    </w:p>
    <w:bookmarkEnd w:id="31"/>
    <w:bookmarkStart w:id="32" w:name="ref-cdcInfluenzaActivityUnited2024"/>
    <w:p>
      <w:pPr>
        <w:pStyle w:val="Bibliography"/>
      </w:pPr>
      <w:r>
        <w:t xml:space="preserve">———. 2024b.</w:t>
      </w:r>
      <w:r>
        <w:t xml:space="preserve"> </w:t>
      </w:r>
      <w:r>
        <w:t xml:space="preserve">“Influenza</w:t>
      </w:r>
      <w:r>
        <w:t xml:space="preserve"> </w:t>
      </w:r>
      <w:r>
        <w:t xml:space="preserve">Activity</w:t>
      </w:r>
      <w:r>
        <w:t xml:space="preserve"> </w:t>
      </w:r>
      <w:r>
        <w:t xml:space="preserve">in the</w:t>
      </w:r>
      <w:r>
        <w:t xml:space="preserve"> </w:t>
      </w:r>
      <w:r>
        <w:t xml:space="preserve">United States</w:t>
      </w:r>
      <w:r>
        <w:t xml:space="preserve"> </w:t>
      </w:r>
      <w:r>
        <w:t xml:space="preserve">During the 2023–2024</w:t>
      </w:r>
      <w:r>
        <w:t xml:space="preserve"> </w:t>
      </w:r>
      <w:r>
        <w:t xml:space="preserve">Season</w:t>
      </w:r>
      <w:r>
        <w:t xml:space="preserve"> </w:t>
      </w:r>
      <w:r>
        <w:t xml:space="preserve">and</w:t>
      </w:r>
      <w:r>
        <w:t xml:space="preserve"> </w:t>
      </w:r>
      <w:r>
        <w:t xml:space="preserve">Composition</w:t>
      </w:r>
      <w:r>
        <w:t xml:space="preserve"> </w:t>
      </w:r>
      <w:r>
        <w:t xml:space="preserve">of the 2024–2025</w:t>
      </w:r>
      <w:r>
        <w:t xml:space="preserve"> </w:t>
      </w:r>
      <w:r>
        <w:t xml:space="preserve">Influenza Vaccine</w:t>
      </w:r>
      <w:r>
        <w:t xml:space="preserve">.”</w:t>
      </w:r>
      <w:r>
        <w:t xml:space="preserve"> </w:t>
      </w:r>
      <w:r>
        <w:rPr>
          <w:i/>
          <w:iCs/>
        </w:rPr>
        <w:t xml:space="preserve">Influenza (Flu)</w:t>
      </w:r>
      <w:r>
        <w:t xml:space="preserve">. https://www.cdc.gov/flu/whats-new/flu-summary-2023-2024.html.</w:t>
      </w:r>
    </w:p>
    <w:bookmarkEnd w:id="32"/>
    <w:bookmarkStart w:id="33" w:name="ref-cdcPeopleIncreasedRisk2025"/>
    <w:p>
      <w:pPr>
        <w:pStyle w:val="Bibliography"/>
      </w:pPr>
      <w:r>
        <w:t xml:space="preserve">———. 2025.</w:t>
      </w:r>
      <w:r>
        <w:t xml:space="preserve"> </w:t>
      </w:r>
      <w:r>
        <w:t xml:space="preserve">“People at</w:t>
      </w:r>
      <w:r>
        <w:t xml:space="preserve"> </w:t>
      </w:r>
      <w:r>
        <w:t xml:space="preserve">Increased Risk</w:t>
      </w:r>
      <w:r>
        <w:t xml:space="preserve"> </w:t>
      </w:r>
      <w:r>
        <w:t xml:space="preserve">for</w:t>
      </w:r>
      <w:r>
        <w:t xml:space="preserve"> </w:t>
      </w:r>
      <w:r>
        <w:t xml:space="preserve">Flu Complications</w:t>
      </w:r>
      <w:r>
        <w:t xml:space="preserve">.”</w:t>
      </w:r>
      <w:r>
        <w:t xml:space="preserve"> </w:t>
      </w:r>
      <w:r>
        <w:rPr>
          <w:i/>
          <w:iCs/>
        </w:rPr>
        <w:t xml:space="preserve">Influenza (Flu)</w:t>
      </w:r>
      <w:r>
        <w:t xml:space="preserve">. https://www.cdc.gov/flu/highrisk/index.htm.</w:t>
      </w:r>
    </w:p>
    <w:bookmarkEnd w:id="33"/>
    <w:bookmarkStart w:id="35" w:name="ref-colemanRiskFactorsSerious2018"/>
    <w:p>
      <w:pPr>
        <w:pStyle w:val="Bibliography"/>
      </w:pPr>
      <w:r>
        <w:t xml:space="preserve">Coleman, Brenda L., Shaza A. Fadel, Tiffany Fitzpatrick, and Sera-Melisa Thomas. 2018.</w:t>
      </w:r>
      <w:r>
        <w:t xml:space="preserve"> </w:t>
      </w:r>
      <w:r>
        <w:t xml:space="preserve">“Risk Factors for Serious Outcomes Associated with Influenza Illness in High- Versus Low- and Middle-Income Countries:</w:t>
      </w:r>
      <w:r>
        <w:t xml:space="preserve"> </w:t>
      </w:r>
      <w:r>
        <w:t xml:space="preserve">Systematic</w:t>
      </w:r>
      <w:r>
        <w:t xml:space="preserve"> </w:t>
      </w:r>
      <w:r>
        <w:t xml:space="preserve">Literature Review and Meta-Analysis.”</w:t>
      </w:r>
      <w:r>
        <w:t xml:space="preserve"> </w:t>
      </w:r>
      <w:r>
        <w:rPr>
          <w:i/>
          <w:iCs/>
        </w:rPr>
        <w:t xml:space="preserve">Influenza and Other Respiratory Viruses</w:t>
      </w:r>
      <w:r>
        <w:t xml:space="preserve"> </w:t>
      </w:r>
      <w:r>
        <w:t xml:space="preserve">12 (1): 22–29.</w:t>
      </w:r>
      <w:r>
        <w:t xml:space="preserve"> </w:t>
      </w:r>
      <w:hyperlink r:id="rId34">
        <w:r>
          <w:rPr>
            <w:rStyle w:val="Hyperlink"/>
          </w:rPr>
          <w:t xml:space="preserve">https://doi.org/10.1111/irv.12504</w:t>
        </w:r>
      </w:hyperlink>
      <w:r>
        <w:t xml:space="preserve">.</w:t>
      </w:r>
    </w:p>
    <w:bookmarkEnd w:id="35"/>
    <w:bookmarkStart w:id="37" w:name="ref-delriccioHowHasDisappearance2025"/>
    <w:p>
      <w:pPr>
        <w:pStyle w:val="Bibliography"/>
      </w:pPr>
      <w:r>
        <w:t xml:space="preserve">Del Riccio, Marco, Jojanneke van Summeren, Saverio Caini, Koos van der Velden, and Aura Timen. 2025.</w:t>
      </w:r>
      <w:r>
        <w:t xml:space="preserve"> </w:t>
      </w:r>
      <w:r>
        <w:t xml:space="preserve">“How</w:t>
      </w:r>
      <w:r>
        <w:t xml:space="preserve"> </w:t>
      </w:r>
      <w:r>
        <w:t xml:space="preserve">Has</w:t>
      </w:r>
      <w:r>
        <w:t xml:space="preserve"> </w:t>
      </w:r>
      <w:r>
        <w:t xml:space="preserve">the</w:t>
      </w:r>
      <w:r>
        <w:t xml:space="preserve"> </w:t>
      </w:r>
      <w:r>
        <w:t xml:space="preserve">Disappearance</w:t>
      </w:r>
      <w:r>
        <w:t xml:space="preserve"> </w:t>
      </w:r>
      <w:r>
        <w:t xml:space="preserve">of</w:t>
      </w:r>
      <w:r>
        <w:t xml:space="preserve"> </w:t>
      </w:r>
      <w:r>
        <w:t xml:space="preserve">Influenza B</w:t>
      </w:r>
      <w:r>
        <w:t xml:space="preserve">/</w:t>
      </w:r>
      <w:r>
        <w:t xml:space="preserve">Yamagata Altered</w:t>
      </w:r>
      <w:r>
        <w:t xml:space="preserve"> </w:t>
      </w:r>
      <w:r>
        <w:t xml:space="preserve">the</w:t>
      </w:r>
      <w:r>
        <w:t xml:space="preserve"> </w:t>
      </w:r>
      <w:r>
        <w:t xml:space="preserve">Proportion</w:t>
      </w:r>
      <w:r>
        <w:t xml:space="preserve"> </w:t>
      </w:r>
      <w:r>
        <w:t xml:space="preserve">of</w:t>
      </w:r>
      <w:r>
        <w:t xml:space="preserve"> </w:t>
      </w:r>
      <w:r>
        <w:t xml:space="preserve">Influenza A</w:t>
      </w:r>
      <w:r>
        <w:t xml:space="preserve"> </w:t>
      </w:r>
      <w:r>
        <w:t xml:space="preserve">and</w:t>
      </w:r>
      <w:r>
        <w:t xml:space="preserve"> </w:t>
      </w:r>
      <w:r>
        <w:t xml:space="preserve">B Cases</w:t>
      </w:r>
      <w:r>
        <w:t xml:space="preserve">?</w:t>
      </w:r>
      <w:r>
        <w:t xml:space="preserve"> </w:t>
      </w:r>
      <w:r>
        <w:t xml:space="preserve">Early Findings From Post</w:t>
      </w:r>
      <w:r>
        <w:t xml:space="preserve">-</w:t>
      </w:r>
      <w:r>
        <w:t xml:space="preserve">COVID Pandemic Global Surveillance Data</w:t>
      </w:r>
      <w:r>
        <w:t xml:space="preserve">.”</w:t>
      </w:r>
      <w:r>
        <w:t xml:space="preserve"> </w:t>
      </w:r>
      <w:r>
        <w:rPr>
          <w:i/>
          <w:iCs/>
        </w:rPr>
        <w:t xml:space="preserve">Influenza and Other Respiratory Viruses</w:t>
      </w:r>
      <w:r>
        <w:t xml:space="preserve"> </w:t>
      </w:r>
      <w:r>
        <w:t xml:space="preserve">19 (7): e70138.</w:t>
      </w:r>
      <w:r>
        <w:t xml:space="preserve"> </w:t>
      </w:r>
      <w:hyperlink r:id="rId36">
        <w:r>
          <w:rPr>
            <w:rStyle w:val="Hyperlink"/>
          </w:rPr>
          <w:t xml:space="preserve">https://doi.org/10.1111/irv.70138</w:t>
        </w:r>
      </w:hyperlink>
      <w:r>
        <w:t xml:space="preserve">.</w:t>
      </w:r>
    </w:p>
    <w:bookmarkEnd w:id="37"/>
    <w:bookmarkStart w:id="39" w:name="ref-laurieEvidenceViralInterference2018"/>
    <w:p>
      <w:pPr>
        <w:pStyle w:val="Bibliography"/>
      </w:pPr>
      <w:r>
        <w:t xml:space="preserve">Laurie, Karen L, William Horman, Louise A Carolan, Kok Fei Chan, Daniel Layton, Andrew Bean, Dhanasekaran Vijaykrishna, Patrick C Reading, James M McCaw, and Ian G Barr. 2018.</w:t>
      </w:r>
      <w:r>
        <w:t xml:space="preserve"> </w:t>
      </w:r>
      <w:r>
        <w:t xml:space="preserve">“Evidence for</w:t>
      </w:r>
      <w:r>
        <w:t xml:space="preserve"> </w:t>
      </w:r>
      <w:r>
        <w:t xml:space="preserve">Viral Interference</w:t>
      </w:r>
      <w:r>
        <w:t xml:space="preserve"> </w:t>
      </w:r>
      <w:r>
        <w:t xml:space="preserve">and</w:t>
      </w:r>
      <w:r>
        <w:t xml:space="preserve"> </w:t>
      </w:r>
      <w:r>
        <w:t xml:space="preserve">Cross-reactive Protective Immunity Between Influenza B Virus Lineages</w:t>
      </w:r>
      <w:r>
        <w:t xml:space="preserve">.”</w:t>
      </w:r>
      <w:r>
        <w:t xml:space="preserve"> </w:t>
      </w:r>
      <w:r>
        <w:rPr>
          <w:i/>
          <w:iCs/>
        </w:rPr>
        <w:t xml:space="preserve">The Journal of Infectious Diseases</w:t>
      </w:r>
      <w:r>
        <w:t xml:space="preserve"> </w:t>
      </w:r>
      <w:r>
        <w:t xml:space="preserve">217 (4): 548–59.</w:t>
      </w:r>
      <w:r>
        <w:t xml:space="preserve"> </w:t>
      </w:r>
      <w:hyperlink r:id="rId38">
        <w:r>
          <w:rPr>
            <w:rStyle w:val="Hyperlink"/>
          </w:rPr>
          <w:t xml:space="preserve">https://doi.org/10.1093/infdis/jix509</w:t>
        </w:r>
      </w:hyperlink>
      <w:r>
        <w:t xml:space="preserve">.</w:t>
      </w:r>
    </w:p>
    <w:bookmarkEnd w:id="39"/>
    <w:bookmarkStart w:id="41" w:name="ref-lazerParableGoogleFlu2014"/>
    <w:p>
      <w:pPr>
        <w:pStyle w:val="Bibliography"/>
      </w:pPr>
      <w:r>
        <w:t xml:space="preserve">Lazer, David, Ryan Kennedy, Gary King, and Alessandro Vespignani. 2014.</w:t>
      </w:r>
      <w:r>
        <w:t xml:space="preserve"> </w:t>
      </w:r>
      <w:r>
        <w:t xml:space="preserve">“The</w:t>
      </w:r>
      <w:r>
        <w:t xml:space="preserve"> </w:t>
      </w:r>
      <w:r>
        <w:t xml:space="preserve">Parable</w:t>
      </w:r>
      <w:r>
        <w:t xml:space="preserve"> </w:t>
      </w:r>
      <w:r>
        <w:t xml:space="preserve">of</w:t>
      </w:r>
      <w:r>
        <w:t xml:space="preserve"> </w:t>
      </w:r>
      <w:r>
        <w:t xml:space="preserve">Google Flu</w:t>
      </w:r>
      <w:r>
        <w:t xml:space="preserve">:</w:t>
      </w:r>
      <w:r>
        <w:t xml:space="preserve"> </w:t>
      </w:r>
      <w:r>
        <w:t xml:space="preserve">Traps</w:t>
      </w:r>
      <w:r>
        <w:t xml:space="preserve"> </w:t>
      </w:r>
      <w:r>
        <w:t xml:space="preserve">in</w:t>
      </w:r>
      <w:r>
        <w:t xml:space="preserve"> </w:t>
      </w:r>
      <w:r>
        <w:t xml:space="preserve">Big Data Analysis</w:t>
      </w:r>
      <w:r>
        <w:t xml:space="preserve">.”</w:t>
      </w:r>
      <w:r>
        <w:t xml:space="preserve"> </w:t>
      </w:r>
      <w:r>
        <w:rPr>
          <w:i/>
          <w:iCs/>
        </w:rPr>
        <w:t xml:space="preserve">Science</w:t>
      </w:r>
      <w:r>
        <w:t xml:space="preserve"> </w:t>
      </w:r>
      <w:r>
        <w:t xml:space="preserve">343 (6176): 1203–5.</w:t>
      </w:r>
      <w:r>
        <w:t xml:space="preserve"> </w:t>
      </w:r>
      <w:hyperlink r:id="rId40">
        <w:r>
          <w:rPr>
            <w:rStyle w:val="Hyperlink"/>
          </w:rPr>
          <w:t xml:space="preserve">https://doi.org/10.1126/science.1248506</w:t>
        </w:r>
      </w:hyperlink>
      <w:r>
        <w:t xml:space="preserve">.</w:t>
      </w:r>
    </w:p>
    <w:bookmarkEnd w:id="41"/>
    <w:bookmarkStart w:id="42" w:name="ref-liDYNAMICSSIRCEPIDEMIOLOGICAL"/>
    <w:p>
      <w:pPr>
        <w:pStyle w:val="Bibliography"/>
      </w:pPr>
      <w:r>
        <w:t xml:space="preserve">Li, Haijiao, and Shangjiang Guo. n.d.</w:t>
      </w:r>
      <w:r>
        <w:t xml:space="preserve"> </w:t>
      </w:r>
      <w:r>
        <w:t xml:space="preserve">“</w:t>
      </w:r>
      <w:r>
        <w:t xml:space="preserve">DYNAMICS OF A SIRC EPIDEMIOLOGICAL MODEL</w:t>
      </w:r>
      <w:r>
        <w:t xml:space="preserve">.”</w:t>
      </w:r>
    </w:p>
    <w:bookmarkEnd w:id="42"/>
    <w:bookmarkStart w:id="43" w:name="ref-maxmenUrgentCDCData2025"/>
    <w:p>
      <w:pPr>
        <w:pStyle w:val="Bibliography"/>
      </w:pPr>
      <w:r>
        <w:t xml:space="preserve">Maxmen, Amy. 2025.</w:t>
      </w:r>
      <w:r>
        <w:t xml:space="preserve"> </w:t>
      </w:r>
      <w:r>
        <w:t xml:space="preserve">“Urgent</w:t>
      </w:r>
      <w:r>
        <w:t xml:space="preserve"> </w:t>
      </w:r>
      <w:r>
        <w:t xml:space="preserve">CDC Data</w:t>
      </w:r>
      <w:r>
        <w:t xml:space="preserve"> </w:t>
      </w:r>
      <w:r>
        <w:t xml:space="preserve">and</w:t>
      </w:r>
      <w:r>
        <w:t xml:space="preserve"> </w:t>
      </w:r>
      <w:r>
        <w:t xml:space="preserve">Analyses</w:t>
      </w:r>
      <w:r>
        <w:t xml:space="preserve"> </w:t>
      </w:r>
      <w:r>
        <w:t xml:space="preserve">on</w:t>
      </w:r>
      <w:r>
        <w:t xml:space="preserve"> </w:t>
      </w:r>
      <w:r>
        <w:t xml:space="preserve">Influenza</w:t>
      </w:r>
      <w:r>
        <w:t xml:space="preserve"> </w:t>
      </w:r>
      <w:r>
        <w:t xml:space="preserve">and</w:t>
      </w:r>
      <w:r>
        <w:t xml:space="preserve"> </w:t>
      </w:r>
      <w:r>
        <w:t xml:space="preserve">Bird Flu Go Missing</w:t>
      </w:r>
      <w:r>
        <w:t xml:space="preserve"> </w:t>
      </w:r>
      <w:r>
        <w:t xml:space="preserve">as</w:t>
      </w:r>
      <w:r>
        <w:t xml:space="preserve"> </w:t>
      </w:r>
      <w:r>
        <w:t xml:space="preserve">Outbreaks Escalate</w:t>
      </w:r>
      <w:r>
        <w:t xml:space="preserve">.”</w:t>
      </w:r>
      <w:r>
        <w:t xml:space="preserve"> </w:t>
      </w:r>
      <w:r>
        <w:rPr>
          <w:i/>
          <w:iCs/>
        </w:rPr>
        <w:t xml:space="preserve">KFF Health News</w:t>
      </w:r>
      <w:r>
        <w:t xml:space="preserve">.</w:t>
      </w:r>
    </w:p>
    <w:bookmarkEnd w:id="43"/>
    <w:bookmarkStart w:id="45" w:name="ref-paleseWhyInfluenzaVirus2011"/>
    <w:p>
      <w:pPr>
        <w:pStyle w:val="Bibliography"/>
      </w:pPr>
      <w:r>
        <w:t xml:space="preserve">Palese, Peter, and Taia T. Wang. 2011.</w:t>
      </w:r>
      <w:r>
        <w:t xml:space="preserve"> </w:t>
      </w:r>
      <w:r>
        <w:t xml:space="preserve">“Why</w:t>
      </w:r>
      <w:r>
        <w:t xml:space="preserve"> </w:t>
      </w:r>
      <w:r>
        <w:t xml:space="preserve">Do Influenza Virus Subtypes Die Out</w:t>
      </w:r>
      <w:r>
        <w:t xml:space="preserve">?</w:t>
      </w:r>
      <w:r>
        <w:t xml:space="preserve"> </w:t>
      </w:r>
      <w:r>
        <w:t xml:space="preserve">A Hypothesis</w:t>
      </w:r>
      <w:r>
        <w:t xml:space="preserve">.”</w:t>
      </w:r>
      <w:r>
        <w:t xml:space="preserve"> </w:t>
      </w:r>
      <w:r>
        <w:rPr>
          <w:i/>
          <w:iCs/>
        </w:rPr>
        <w:t xml:space="preserve">mBio</w:t>
      </w:r>
      <w:r>
        <w:t xml:space="preserve"> </w:t>
      </w:r>
      <w:r>
        <w:t xml:space="preserve">2 (5): e00150–11.</w:t>
      </w:r>
      <w:r>
        <w:t xml:space="preserve"> </w:t>
      </w:r>
      <w:hyperlink r:id="rId44">
        <w:r>
          <w:rPr>
            <w:rStyle w:val="Hyperlink"/>
          </w:rPr>
          <w:t xml:space="preserve">https://doi.org/10.1128/mBio.00150-11</w:t>
        </w:r>
      </w:hyperlink>
      <w:r>
        <w:t xml:space="preserve">.</w:t>
      </w:r>
    </w:p>
    <w:bookmarkEnd w:id="45"/>
    <w:bookmarkStart w:id="47" w:name="ref-putriEconomicBurdenSeasonal2018"/>
    <w:p>
      <w:pPr>
        <w:pStyle w:val="Bibliography"/>
      </w:pPr>
      <w:r>
        <w:t xml:space="preserve">Putri, Wayan C. W. S., David J. Muscatello, Melissa S. Stockwell, and Anthony T. Newall. 2018.</w:t>
      </w:r>
      <w:r>
        <w:t xml:space="preserve"> </w:t>
      </w:r>
      <w:r>
        <w:t xml:space="preserve">“Economic Burden of Seasonal Influenza in the</w:t>
      </w:r>
      <w:r>
        <w:t xml:space="preserve"> </w:t>
      </w:r>
      <w:r>
        <w:t xml:space="preserve">United States</w:t>
      </w:r>
      <w:r>
        <w:t xml:space="preserve">.”</w:t>
      </w:r>
      <w:r>
        <w:t xml:space="preserve"> </w:t>
      </w:r>
      <w:r>
        <w:rPr>
          <w:i/>
          <w:iCs/>
        </w:rPr>
        <w:t xml:space="preserve">Vaccine</w:t>
      </w:r>
      <w:r>
        <w:t xml:space="preserve"> </w:t>
      </w:r>
      <w:r>
        <w:t xml:space="preserve">36 (27): 3960–66.</w:t>
      </w:r>
      <w:r>
        <w:t xml:space="preserve"> </w:t>
      </w:r>
      <w:hyperlink r:id="rId46">
        <w:r>
          <w:rPr>
            <w:rStyle w:val="Hyperlink"/>
          </w:rPr>
          <w:t xml:space="preserve">https://doi.org/10.1016/j.vaccine.2018.05.057</w:t>
        </w:r>
      </w:hyperlink>
      <w:r>
        <w:t xml:space="preserve">.</w:t>
      </w:r>
    </w:p>
    <w:bookmarkEnd w:id="47"/>
    <w:bookmarkStart w:id="49" w:name="X18f5674be8732f75b4b702b614d5c156dfe729c"/>
    <w:p>
      <w:pPr>
        <w:pStyle w:val="Bibliography"/>
      </w:pPr>
      <w:r>
        <w:t xml:space="preserve">Reich, Nicholas G., Logan C. Brooks, Spencer J. Fox, Sasikiran Kandula, Craig J. McGowan, Evan Moore, Dave Osthus, et al. 2019.</w:t>
      </w:r>
      <w:r>
        <w:t xml:space="preserve"> </w:t>
      </w:r>
      <w:r>
        <w:t xml:space="preserve">“A Collaborative Multiyear, Multimodel Assessment of Seasonal Influenza Forecasting in the</w:t>
      </w:r>
      <w:r>
        <w:t xml:space="preserve"> </w:t>
      </w:r>
      <w:r>
        <w:t xml:space="preserve">United States</w:t>
      </w:r>
      <w:r>
        <w:t xml:space="preserve">.”</w:t>
      </w:r>
      <w:r>
        <w:t xml:space="preserve"> </w:t>
      </w:r>
      <w:r>
        <w:rPr>
          <w:i/>
          <w:iCs/>
        </w:rPr>
        <w:t xml:space="preserve">Proceedings of the National Academy of Sciences</w:t>
      </w:r>
      <w:r>
        <w:t xml:space="preserve"> </w:t>
      </w:r>
      <w:r>
        <w:t xml:space="preserve">116 (8): 3146–54.</w:t>
      </w:r>
      <w:r>
        <w:t xml:space="preserve"> </w:t>
      </w:r>
      <w:hyperlink r:id="rId48">
        <w:r>
          <w:rPr>
            <w:rStyle w:val="Hyperlink"/>
          </w:rPr>
          <w:t xml:space="preserve">https://doi.org/10.1073/pnas.1812594116</w:t>
        </w:r>
      </w:hyperlink>
      <w:r>
        <w:t xml:space="preserve">.</w:t>
      </w:r>
    </w:p>
    <w:bookmarkEnd w:id="49"/>
    <w:bookmarkStart w:id="51" w:name="Xcdb3826acc5ae0038a6f769d1c06f9e956e52b6"/>
    <w:p>
      <w:pPr>
        <w:pStyle w:val="Bibliography"/>
      </w:pPr>
      <w:r>
        <w:t xml:space="preserve">Trombetta, Claudia Maria, Otfried Kistner, Emanuele Montomoli, Simonetta Viviani, and Serena Marchi. 2022.</w:t>
      </w:r>
      <w:r>
        <w:t xml:space="preserve"> </w:t>
      </w:r>
      <w:r>
        <w:t xml:space="preserve">“Influenza</w:t>
      </w:r>
      <w:r>
        <w:t xml:space="preserve"> </w:t>
      </w:r>
      <w:r>
        <w:t xml:space="preserve">Viruses</w:t>
      </w:r>
      <w:r>
        <w:t xml:space="preserve"> </w:t>
      </w:r>
      <w:r>
        <w:t xml:space="preserve">and</w:t>
      </w:r>
      <w:r>
        <w:t xml:space="preserve"> </w:t>
      </w:r>
      <w:r>
        <w:t xml:space="preserve">Vaccines</w:t>
      </w:r>
      <w:r>
        <w:t xml:space="preserve">:</w:t>
      </w:r>
      <w:r>
        <w:t xml:space="preserve"> </w:t>
      </w:r>
      <w:r>
        <w:t xml:space="preserve">The Role</w:t>
      </w:r>
      <w:r>
        <w:t xml:space="preserve"> </w:t>
      </w:r>
      <w:r>
        <w:t xml:space="preserve">of</w:t>
      </w:r>
      <w:r>
        <w:t xml:space="preserve"> </w:t>
      </w:r>
      <w:r>
        <w:t xml:space="preserve">Vaccine Effectiveness Studies</w:t>
      </w:r>
      <w:r>
        <w:t xml:space="preserve"> </w:t>
      </w:r>
      <w:r>
        <w:t xml:space="preserve">for</w:t>
      </w:r>
      <w:r>
        <w:t xml:space="preserve"> </w:t>
      </w:r>
      <w:r>
        <w:t xml:space="preserve">Evaluation</w:t>
      </w:r>
      <w:r>
        <w:t xml:space="preserve"> </w:t>
      </w:r>
      <w:r>
        <w:t xml:space="preserve">of the</w:t>
      </w:r>
      <w:r>
        <w:t xml:space="preserve"> </w:t>
      </w:r>
      <w:r>
        <w:t xml:space="preserve">Benefits</w:t>
      </w:r>
      <w:r>
        <w:t xml:space="preserve"> </w:t>
      </w:r>
      <w:r>
        <w:t xml:space="preserve">of</w:t>
      </w:r>
      <w:r>
        <w:t xml:space="preserve"> </w:t>
      </w:r>
      <w:r>
        <w:t xml:space="preserve">Influenza Vaccines</w:t>
      </w:r>
      <w:r>
        <w:t xml:space="preserve">.”</w:t>
      </w:r>
      <w:r>
        <w:t xml:space="preserve"> </w:t>
      </w:r>
      <w:r>
        <w:rPr>
          <w:i/>
          <w:iCs/>
        </w:rPr>
        <w:t xml:space="preserve">Vaccines</w:t>
      </w:r>
      <w:r>
        <w:t xml:space="preserve"> </w:t>
      </w:r>
      <w:r>
        <w:t xml:space="preserve">10 (5): 714.</w:t>
      </w:r>
      <w:r>
        <w:t xml:space="preserve"> </w:t>
      </w:r>
      <w:hyperlink r:id="rId50">
        <w:r>
          <w:rPr>
            <w:rStyle w:val="Hyperlink"/>
          </w:rPr>
          <w:t xml:space="preserve">https://doi.org/10.3390/vaccines10050714</w:t>
        </w:r>
      </w:hyperlink>
      <w:r>
        <w:t xml:space="preserve">.</w:t>
      </w:r>
    </w:p>
    <w:bookmarkEnd w:id="51"/>
    <w:bookmarkStart w:id="52" w:name="ref-WhyCDCSupports2023"/>
    <w:p>
      <w:pPr>
        <w:pStyle w:val="Bibliography"/>
      </w:pPr>
      <w:r>
        <w:t xml:space="preserve">“Why</w:t>
      </w:r>
      <w:r>
        <w:t xml:space="preserve"> </w:t>
      </w:r>
      <w:r>
        <w:t xml:space="preserve">CDC Supports Flu Forecasting</w:t>
      </w:r>
      <w:r>
        <w:t xml:space="preserve"> </w:t>
      </w:r>
      <w:r>
        <w:t xml:space="preserve"> </w:t>
      </w:r>
      <w:r>
        <w:t xml:space="preserve">CDC</w:t>
      </w:r>
      <w:r>
        <w:t xml:space="preserve">.”</w:t>
      </w:r>
      <w:r>
        <w:t xml:space="preserve"> </w:t>
      </w:r>
      <w:r>
        <w:t xml:space="preserve">2023. https://archive.cdc.gov/www_cdc_gov/flu/weekly/flusight/why-flu-forecasting.htm.</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46" Target="https://doi.org/10.1016/j.vaccine.2018.05.057" TargetMode="External" /><Relationship Type="http://schemas.openxmlformats.org/officeDocument/2006/relationships/hyperlink" Id="rId48" Target="https://doi.org/10.1073/pnas.1812594116" TargetMode="External" /><Relationship Type="http://schemas.openxmlformats.org/officeDocument/2006/relationships/hyperlink" Id="rId29" Target="https://doi.org/10.1073/pnas.2012327118" TargetMode="External" /><Relationship Type="http://schemas.openxmlformats.org/officeDocument/2006/relationships/hyperlink" Id="rId38" Target="https://doi.org/10.1093/infdis/jix509" TargetMode="External" /><Relationship Type="http://schemas.openxmlformats.org/officeDocument/2006/relationships/hyperlink" Id="rId34" Target="https://doi.org/10.1111/irv.12504" TargetMode="External" /><Relationship Type="http://schemas.openxmlformats.org/officeDocument/2006/relationships/hyperlink" Id="rId36" Target="https://doi.org/10.1111/irv.70138" TargetMode="External" /><Relationship Type="http://schemas.openxmlformats.org/officeDocument/2006/relationships/hyperlink" Id="rId40" Target="https://doi.org/10.1126/science.1248506" TargetMode="External" /><Relationship Type="http://schemas.openxmlformats.org/officeDocument/2006/relationships/hyperlink" Id="rId44" Target="https://doi.org/10.1128/mBio.00150-11" TargetMode="External" /><Relationship Type="http://schemas.openxmlformats.org/officeDocument/2006/relationships/hyperlink" Id="rId50" Target="https://doi.org/10.3390/vaccines10050714"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j.vaccine.2018.05.057" TargetMode="External" /><Relationship Type="http://schemas.openxmlformats.org/officeDocument/2006/relationships/hyperlink" Id="rId48" Target="https://doi.org/10.1073/pnas.1812594116" TargetMode="External" /><Relationship Type="http://schemas.openxmlformats.org/officeDocument/2006/relationships/hyperlink" Id="rId29" Target="https://doi.org/10.1073/pnas.2012327118" TargetMode="External" /><Relationship Type="http://schemas.openxmlformats.org/officeDocument/2006/relationships/hyperlink" Id="rId38" Target="https://doi.org/10.1093/infdis/jix509" TargetMode="External" /><Relationship Type="http://schemas.openxmlformats.org/officeDocument/2006/relationships/hyperlink" Id="rId34" Target="https://doi.org/10.1111/irv.12504" TargetMode="External" /><Relationship Type="http://schemas.openxmlformats.org/officeDocument/2006/relationships/hyperlink" Id="rId36" Target="https://doi.org/10.1111/irv.70138" TargetMode="External" /><Relationship Type="http://schemas.openxmlformats.org/officeDocument/2006/relationships/hyperlink" Id="rId40" Target="https://doi.org/10.1126/science.1248506" TargetMode="External" /><Relationship Type="http://schemas.openxmlformats.org/officeDocument/2006/relationships/hyperlink" Id="rId44" Target="https://doi.org/10.1128/mBio.00150-11" TargetMode="External" /><Relationship Type="http://schemas.openxmlformats.org/officeDocument/2006/relationships/hyperlink" Id="rId50" Target="https://doi.org/10.3390/vaccines100507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Two-Strain SIRV Model Specification</dc:title>
  <dc:creator>Jake Harmon</dc:creator>
  <cp:keywords/>
  <dcterms:created xsi:type="dcterms:W3CDTF">2025-11-09T03:27:38Z</dcterms:created>
  <dcterms:modified xsi:type="dcterms:W3CDTF">2025-11-09T03:27:38Z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xecute">
    <vt:lpwstr/>
  </property>
  <property fmtid="{D5CDD505-2E9C-101B-9397-08002B2CF9AE}" pid="7" name="format">
    <vt:lpwstr>html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