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99CD" w14:textId="33CAE03D" w:rsidR="004638FB" w:rsidRPr="004638FB" w:rsidRDefault="004638FB" w:rsidP="004638FB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4638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of Methods: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Modeling Approach: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br/>
        <w:t>A multiperiod model was developed using a flowsheet that represents distributed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scale 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water treatment system including 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PV, wind, a battery, and 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 treatment unit.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>An energy balance was applied at each hourly time step to determine water production and energy use.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>The required water production over the 5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noBreakHyphen/>
        <w:t>day window was fixed at 500 m³, equivalent to an average of 100 m³ per day.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The treatment system was allowed to operate intermittently, turning on or off in response to available energy from generation or 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>attery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 storage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The sizes of 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>all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 components were treated as decision variables, making this a combined design and operational optimization problem.</w:t>
      </w:r>
    </w:p>
    <w:p w14:paraId="4F9A8D37" w14:textId="14CE8845" w:rsidR="004638FB" w:rsidRPr="004638FB" w:rsidRDefault="004638FB" w:rsidP="004638FB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4638FB">
        <w:rPr>
          <w:rFonts w:ascii="Times New Roman" w:eastAsia="Times New Roman" w:hAnsi="Times New Roman" w:cs="Times New Roman"/>
          <w:kern w:val="0"/>
          <w14:ligatures w14:val="none"/>
        </w:rPr>
        <w:br/>
        <w:t>The objective was to minimize total capital and operating expenditures across all components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 while meeting the water production target. 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>WaterTAP flowsheets were used to determine the specific energy consumption (SEC), capital costs, and operating costs for several components.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>The model was formulated as a mixed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integer linear program (MILP) and solved using </w:t>
      </w:r>
      <w:commentRangeStart w:id="0"/>
      <w:r w:rsidRPr="004638FB">
        <w:rPr>
          <w:rFonts w:ascii="Times New Roman" w:hAnsi="Times New Roman" w:cs="Times New Roman"/>
        </w:rPr>
        <w:t>Gurobi</w:t>
      </w:r>
      <w:commentRangeEnd w:id="0"/>
      <w:r w:rsidRPr="004638FB">
        <w:rPr>
          <w:rStyle w:val="CommentReference"/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commentReference w:id="0"/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F6094A" w14:textId="1C9E0E7B" w:rsidR="004638FB" w:rsidRPr="004638FB" w:rsidRDefault="004638FB" w:rsidP="004638FB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4638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Scenarios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br/>
        <w:t>Three treatment technologies were evaluated—RO, UF + IX, and UF + GAC—under two seasonal conditions, October and June.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>WaterTAP unit models for GAC and IX were used to estimate energy consumption and costs.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>UF energy consumption was estimated using an assumed pump efficiency of 80% and a required pressure differential based on water quality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>SEC for RO was based on an existing RO train designed for similar feedwater.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WaterTAP was not used to </w:t>
      </w:r>
      <w:commentRangeStart w:id="1"/>
      <w:r w:rsidRPr="004638FB">
        <w:rPr>
          <w:rFonts w:ascii="Times New Roman" w:eastAsia="Times New Roman" w:hAnsi="Times New Roman" w:cs="Times New Roman"/>
          <w:kern w:val="0"/>
          <w14:ligatures w14:val="none"/>
        </w:rPr>
        <w:t>estimate RO system costs</w:t>
      </w:r>
      <w:commentRangeEnd w:id="1"/>
      <w:r w:rsidRPr="004638FB">
        <w:rPr>
          <w:rStyle w:val="CommentReference"/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commentReference w:id="1"/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A51F57" w14:textId="0678F540" w:rsidR="004638FB" w:rsidRPr="004638FB" w:rsidRDefault="004638FB" w:rsidP="004638FB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4638FB">
        <w:rPr>
          <w:rFonts w:ascii="Times New Roman" w:eastAsia="Times New Roman" w:hAnsi="Times New Roman" w:cs="Times New Roman"/>
          <w:kern w:val="0"/>
          <w14:ligatures w14:val="none"/>
        </w:rPr>
        <w:br/>
        <w:t>Poorer water quality in October was assumed to increase both SEC and operating costs for the treatment systems.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>Product water quality was not evaluated.</w:t>
      </w:r>
    </w:p>
    <w:p w14:paraId="4DAFEEEC" w14:textId="23142BCB" w:rsidR="004638FB" w:rsidRPr="004638FB" w:rsidRDefault="004638FB" w:rsidP="004638FB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4638FB">
        <w:rPr>
          <w:rFonts w:ascii="Times New Roman" w:eastAsia="Times New Roman" w:hAnsi="Times New Roman" w:cs="Times New Roman"/>
          <w:kern w:val="0"/>
          <w14:ligatures w14:val="none"/>
        </w:rPr>
        <w:br/>
        <w:t>A comparison was made to a traditional off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noBreakHyphen/>
        <w:t>grid treatment system sized exactly at 100 m³/day, operated continuously, and powered by a diesel generator.</w:t>
      </w:r>
    </w:p>
    <w:p w14:paraId="716DB4EA" w14:textId="1C8C9260" w:rsidR="004638FB" w:rsidRPr="004638FB" w:rsidRDefault="004638FB" w:rsidP="004638FB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4638FB">
        <w:rPr>
          <w:rFonts w:ascii="Times New Roman" w:eastAsia="Times New Roman" w:hAnsi="Times New Roman" w:cs="Times New Roman"/>
          <w:kern w:val="0"/>
          <w14:ligatures w14:val="none"/>
        </w:rPr>
        <w:br/>
        <w:t>Diesel generator costs were estimated using literature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levelized cost of energy (LCOE) values.</w:t>
      </w:r>
    </w:p>
    <w:p w14:paraId="18C26567" w14:textId="77777777" w:rsidR="004638FB" w:rsidRPr="004638FB" w:rsidRDefault="004638FB" w:rsidP="004638FB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A. Zein et al., 2023, </w:t>
      </w:r>
      <w:r w:rsidRPr="004638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Analysis of variable reverse osmosis operation powered by solar energy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E. Mulenga et al., 2023, </w:t>
      </w:r>
      <w:r w:rsidRPr="004638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Techno</w:t>
      </w:r>
      <w:r w:rsidRPr="004638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economic analysis of off</w:t>
      </w:r>
      <w:r w:rsidRPr="004638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grid PV</w:t>
      </w:r>
      <w:r w:rsidRPr="004638F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Diesel power generation system for rural electrification: A case study of Chilubi district in Zambia</w:t>
      </w:r>
    </w:p>
    <w:p w14:paraId="2870AE64" w14:textId="01DFE18A" w:rsidR="004638FB" w:rsidRPr="004638FB" w:rsidRDefault="004638FB" w:rsidP="004638FB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4638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  <w:t>An LCOE value of $0.35/kWh was used as the baseline case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>, which corresponds to d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iesel fuel costs 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of 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>approximately $4 per gallon.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>An additional scenario assumed a 60% increase in diesel prices to reflect recent cost trends.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>Because the system operated continuously, no optimization was required; annual cost was calculated using: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br/>
      </w:r>
      <m:oMathPara>
        <m:oMath>
          <m:r>
            <w:rPr>
              <w:rFonts w:ascii="Cambria Math" w:hAnsi="Cambria Math" w:cs="Times New Roman"/>
            </w:rPr>
            <m:t>Cost=SEC*LCOE*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 xml:space="preserve">100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day</m:t>
              </m:r>
            </m:den>
          </m:f>
          <m:r>
            <w:rPr>
              <w:rFonts w:ascii="Cambria Math" w:hAnsi="Cambria Math" w:cs="Times New Roman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365 day</m:t>
              </m:r>
            </m:num>
            <m:den>
              <m:r>
                <w:rPr>
                  <w:rFonts w:ascii="Cambria Math" w:hAnsi="Cambria Math" w:cs="Times New Roman"/>
                </w:rPr>
                <m:t>yr</m:t>
              </m:r>
            </m:den>
          </m:f>
        </m:oMath>
      </m:oMathPara>
    </w:p>
    <w:p w14:paraId="1ADB0C6E" w14:textId="58CF5A5E" w:rsidR="004638FB" w:rsidRPr="004638FB" w:rsidRDefault="004638FB" w:rsidP="004638FB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4638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Data: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br/>
        <w:t>Cost estimates for PV, wind, and battery systems were sourced from SAM, which derives values from the Annual Technology Baseline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 xml:space="preserve"> report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br/>
        <w:t>Cost data for t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t>eatment technologies were obtained from WaterTAP unit models or existing studies.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br/>
        <w:t>PV and wind power outputs were based on a Texas load profile generated through SAM.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br/>
        <w:t>The feedwater was surface water, and no specific TDS value was assigned, as it did not affect UF, GAC, or IX performance in the model.</w:t>
      </w:r>
      <w:r w:rsidRPr="004638FB">
        <w:rPr>
          <w:rFonts w:ascii="Times New Roman" w:eastAsia="Times New Roman" w:hAnsi="Times New Roman" w:cs="Times New Roman"/>
          <w:kern w:val="0"/>
          <w14:ligatures w14:val="none"/>
        </w:rPr>
        <w:br/>
        <w:t>(Additional details are available in the third tab of the results spreadsheet.)</w:t>
      </w:r>
    </w:p>
    <w:p w14:paraId="49DC126C" w14:textId="77777777" w:rsidR="004638FB" w:rsidRPr="004638FB" w:rsidRDefault="004638FB">
      <w:pPr>
        <w:rPr>
          <w:rFonts w:ascii="Times New Roman" w:hAnsi="Times New Roman" w:cs="Times New Roman"/>
        </w:rPr>
      </w:pPr>
    </w:p>
    <w:sectPr w:rsidR="004638FB" w:rsidRPr="00463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urchill, Jake" w:date="2026-05-15T09:09:00Z" w:initials="JC">
    <w:p w14:paraId="7AB5AB08" w14:textId="77777777" w:rsidR="004638FB" w:rsidRDefault="004638FB" w:rsidP="00AE0C37">
      <w:pPr>
        <w:pStyle w:val="CommentText"/>
      </w:pPr>
      <w:r>
        <w:rPr>
          <w:rStyle w:val="CommentReference"/>
        </w:rPr>
        <w:annotationRef/>
      </w:r>
      <w:r>
        <w:t>commercial software not required to solve, but is faster</w:t>
      </w:r>
    </w:p>
  </w:comment>
  <w:comment w:id="1" w:author="Churchill, Jake" w:date="2026-05-15T11:54:00Z" w:initials="JC">
    <w:p w14:paraId="07478BA5" w14:textId="77777777" w:rsidR="004638FB" w:rsidRDefault="004638FB" w:rsidP="004638FB">
      <w:pPr>
        <w:pStyle w:val="CommentText"/>
      </w:pPr>
      <w:r>
        <w:rPr>
          <w:rStyle w:val="CommentReference"/>
        </w:rPr>
        <w:annotationRef/>
      </w:r>
      <w:r>
        <w:t>If there was more time, it would make sense to do that.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B5AB08" w15:done="0"/>
  <w15:commentEx w15:paraId="07478BA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B404739" w16cex:dateUtc="2026-05-15T15:09:00Z"/>
  <w16cex:commentExtensible w16cex:durableId="7BFECDDC" w16cex:dateUtc="2026-05-15T17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B5AB08" w16cid:durableId="4B404739"/>
  <w16cid:commentId w16cid:paraId="07478BA5" w16cid:durableId="7BFECDD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urchill, Jake">
    <w15:presenceInfo w15:providerId="AD" w15:userId="S::rchurchi@nrel.gov::24b6a320-1211-4379-9513-990e66715a0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F27"/>
    <w:rsid w:val="0012196C"/>
    <w:rsid w:val="002E3D51"/>
    <w:rsid w:val="004638FB"/>
    <w:rsid w:val="007063F6"/>
    <w:rsid w:val="007D6287"/>
    <w:rsid w:val="008B3496"/>
    <w:rsid w:val="00985074"/>
    <w:rsid w:val="009F4466"/>
    <w:rsid w:val="00A87F27"/>
    <w:rsid w:val="00AE0C37"/>
    <w:rsid w:val="00B61129"/>
    <w:rsid w:val="00D24239"/>
    <w:rsid w:val="00E8253A"/>
    <w:rsid w:val="00F07CC8"/>
    <w:rsid w:val="00FC2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F9A15"/>
  <w15:chartTrackingRefBased/>
  <w15:docId w15:val="{D7DD098C-BA56-40D4-878E-687B9C710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F27"/>
    <w:rPr>
      <w:b/>
      <w:bCs/>
      <w:smallCaps/>
      <w:color w:val="0F4761" w:themeColor="accent1" w:themeShade="BF"/>
      <w:spacing w:val="5"/>
    </w:rPr>
  </w:style>
  <w:style w:type="character" w:customStyle="1" w:styleId="EndNoteBibliographyChar">
    <w:name w:val="EndNote Bibliography Char"/>
    <w:basedOn w:val="DefaultParagraphFont"/>
    <w:link w:val="EndNoteBibliography"/>
    <w:qFormat/>
    <w:rsid w:val="00E8253A"/>
    <w:rPr>
      <w:rFonts w:ascii="Aptos" w:hAnsi="Aptos"/>
    </w:rPr>
  </w:style>
  <w:style w:type="paragraph" w:customStyle="1" w:styleId="EndNoteBibliography">
    <w:name w:val="EndNote Bibliography"/>
    <w:basedOn w:val="Normal"/>
    <w:link w:val="EndNoteBibliographyChar"/>
    <w:qFormat/>
    <w:rsid w:val="00E8253A"/>
    <w:pPr>
      <w:suppressAutoHyphens/>
      <w:spacing w:line="240" w:lineRule="auto"/>
    </w:pPr>
    <w:rPr>
      <w:rFonts w:ascii="Aptos" w:hAnsi="Aptos"/>
    </w:rPr>
  </w:style>
  <w:style w:type="character" w:styleId="PlaceholderText">
    <w:name w:val="Placeholder Text"/>
    <w:basedOn w:val="DefaultParagraphFont"/>
    <w:uiPriority w:val="99"/>
    <w:semiHidden/>
    <w:rsid w:val="00E8253A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AE0C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0C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0C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0C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0C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B4D6D-1811-4C90-9746-B8BDCFDE276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5965d95-ecc0-4720-b759-1f33c42ed7da}" enabled="1" method="Standard" siteId="{a0f29d7e-28cd-4f54-8442-7885aee7c08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Churchill, Jake</dc:creator>
  <cp:keywords/>
  <dc:description/>
  <cp:lastModifiedBy>Churchill, Jake</cp:lastModifiedBy>
  <cp:revision>4</cp:revision>
  <dcterms:created xsi:type="dcterms:W3CDTF">2026-05-15T08:51:00Z</dcterms:created>
  <dcterms:modified xsi:type="dcterms:W3CDTF">2026-05-15T17:54:00Z</dcterms:modified>
</cp:coreProperties>
</file>