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8093985"/>
        <w:docPartObj>
          <w:docPartGallery w:val="Cover Pages"/>
          <w:docPartUnique/>
        </w:docPartObj>
      </w:sdtPr>
      <w:sdtEndPr>
        <w:rPr>
          <w:rFonts w:ascii="Times New Roman" w:hAnsi="Times New Roman" w:cs="Times New Roman"/>
        </w:rPr>
      </w:sdtEndPr>
      <w:sdtContent>
        <w:p w14:paraId="17B837F7" w14:textId="77777777" w:rsidR="00D75FC1" w:rsidRDefault="00D75FC1" w:rsidP="00D75FC1">
          <w:pPr>
            <w:jc w:val="center"/>
          </w:pPr>
        </w:p>
        <w:tbl>
          <w:tblPr>
            <w:tblW w:w="5000" w:type="pct"/>
            <w:jc w:val="center"/>
            <w:tblLook w:val="04A0" w:firstRow="1" w:lastRow="0" w:firstColumn="1" w:lastColumn="0" w:noHBand="0" w:noVBand="1"/>
          </w:tblPr>
          <w:tblGrid>
            <w:gridCol w:w="9020"/>
          </w:tblGrid>
          <w:tr w:rsidR="00D75FC1" w:rsidRPr="00510CA0" w14:paraId="0797C0E7" w14:textId="77777777" w:rsidTr="008377D8">
            <w:trPr>
              <w:trHeight w:val="2880"/>
              <w:jc w:val="center"/>
            </w:trPr>
            <w:tc>
              <w:tcPr>
                <w:tcW w:w="5000" w:type="pct"/>
              </w:tcPr>
              <w:p w14:paraId="1147B92D" w14:textId="77777777" w:rsidR="00D75FC1" w:rsidRPr="00510CA0" w:rsidRDefault="00D75FC1" w:rsidP="008377D8">
                <w:pPr>
                  <w:rPr>
                    <w:rFonts w:asciiTheme="majorHAnsi" w:eastAsiaTheme="majorEastAsia" w:hAnsiTheme="majorHAnsi" w:cstheme="majorBidi"/>
                    <w:caps/>
                  </w:rPr>
                </w:pPr>
              </w:p>
            </w:tc>
          </w:tr>
          <w:tr w:rsidR="00D75FC1" w:rsidRPr="00F27D67" w14:paraId="4035417E" w14:textId="77777777" w:rsidTr="008377D8">
            <w:trPr>
              <w:trHeight w:val="1440"/>
              <w:jc w:val="center"/>
            </w:trPr>
            <w:tc>
              <w:tcPr>
                <w:tcW w:w="5000" w:type="pct"/>
                <w:tcBorders>
                  <w:bottom w:val="single" w:sz="4" w:space="0" w:color="4472C4" w:themeColor="accent1"/>
                </w:tcBorders>
                <w:vAlign w:val="center"/>
              </w:tcPr>
              <w:p w14:paraId="63D01151" w14:textId="6E493FCA" w:rsidR="00D75FC1" w:rsidRPr="00D75FC1" w:rsidRDefault="00D75FC1" w:rsidP="008377D8">
                <w:pPr>
                  <w:jc w:val="center"/>
                  <w:rPr>
                    <w:rFonts w:asciiTheme="majorHAnsi" w:eastAsiaTheme="majorEastAsia" w:hAnsiTheme="majorHAnsi" w:cstheme="majorBidi"/>
                    <w:sz w:val="66"/>
                    <w:szCs w:val="66"/>
                  </w:rPr>
                </w:pPr>
                <w:r w:rsidRPr="00D75FC1">
                  <w:rPr>
                    <w:rFonts w:ascii="Times New Roman" w:hAnsi="Times New Roman" w:cs="Times New Roman"/>
                    <w:sz w:val="66"/>
                    <w:szCs w:val="66"/>
                  </w:rPr>
                  <w:t xml:space="preserve">Delayed </w:t>
                </w:r>
                <w:r w:rsidR="004F0F7C">
                  <w:rPr>
                    <w:rFonts w:ascii="Times New Roman" w:hAnsi="Times New Roman" w:cs="Times New Roman"/>
                    <w:sz w:val="66"/>
                    <w:szCs w:val="66"/>
                  </w:rPr>
                  <w:t>Gratification</w:t>
                </w:r>
                <w:r w:rsidRPr="00D75FC1">
                  <w:rPr>
                    <w:rFonts w:ascii="Times New Roman" w:hAnsi="Times New Roman" w:cs="Times New Roman"/>
                    <w:sz w:val="66"/>
                    <w:szCs w:val="66"/>
                  </w:rPr>
                  <w:t xml:space="preserve"> and School Performance: </w:t>
                </w:r>
                <w:r w:rsidRPr="00D75FC1">
                  <w:rPr>
                    <w:rFonts w:ascii="Times New Roman" w:hAnsi="Times New Roman" w:cs="Times New Roman"/>
                    <w:sz w:val="66"/>
                    <w:szCs w:val="66"/>
                  </w:rPr>
                  <w:br/>
                  <w:t>How Wealth Influences Academic Performance in School</w:t>
                </w:r>
              </w:p>
            </w:tc>
          </w:tr>
          <w:tr w:rsidR="00D75FC1" w:rsidRPr="00510CA0" w14:paraId="53D018C4" w14:textId="77777777" w:rsidTr="008377D8">
            <w:trPr>
              <w:trHeight w:val="720"/>
              <w:jc w:val="center"/>
            </w:trPr>
            <w:tc>
              <w:tcPr>
                <w:tcW w:w="5000" w:type="pct"/>
                <w:tcBorders>
                  <w:top w:val="single" w:sz="4" w:space="0" w:color="4472C4" w:themeColor="accent1"/>
                </w:tcBorders>
                <w:vAlign w:val="center"/>
              </w:tcPr>
              <w:p w14:paraId="11C6E2F8" w14:textId="77777777" w:rsidR="00D75FC1" w:rsidRPr="00D75FC1" w:rsidRDefault="00D75FC1" w:rsidP="00D75FC1">
                <w:pPr>
                  <w:spacing w:line="276" w:lineRule="auto"/>
                  <w:jc w:val="center"/>
                  <w:rPr>
                    <w:rFonts w:ascii="Times New Roman" w:eastAsiaTheme="majorEastAsia" w:hAnsi="Times New Roman" w:cs="Times New Roman"/>
                    <w:sz w:val="44"/>
                    <w:szCs w:val="44"/>
                  </w:rPr>
                </w:pPr>
              </w:p>
              <w:p w14:paraId="561E5C48" w14:textId="3594F94F" w:rsidR="00D75FC1" w:rsidRPr="00D75FC1" w:rsidRDefault="00D75FC1" w:rsidP="00D75FC1">
                <w:pPr>
                  <w:spacing w:line="276" w:lineRule="auto"/>
                  <w:jc w:val="center"/>
                  <w:rPr>
                    <w:rFonts w:ascii="Times New Roman" w:eastAsiaTheme="majorEastAsia" w:hAnsi="Times New Roman" w:cs="Times New Roman"/>
                    <w:sz w:val="44"/>
                    <w:szCs w:val="44"/>
                  </w:rPr>
                </w:pPr>
                <w:r w:rsidRPr="00D75FC1">
                  <w:rPr>
                    <w:rFonts w:ascii="Times New Roman" w:eastAsiaTheme="majorEastAsia" w:hAnsi="Times New Roman" w:cs="Times New Roman"/>
                    <w:sz w:val="44"/>
                    <w:szCs w:val="44"/>
                  </w:rPr>
                  <w:t>Jake Underland</w:t>
                </w:r>
              </w:p>
              <w:p w14:paraId="70E559F9" w14:textId="41500322" w:rsidR="00D75FC1" w:rsidRPr="00D75FC1" w:rsidRDefault="00D75FC1" w:rsidP="00D75FC1">
                <w:pPr>
                  <w:spacing w:line="276" w:lineRule="auto"/>
                  <w:jc w:val="center"/>
                  <w:rPr>
                    <w:rFonts w:ascii="Times New Roman" w:eastAsiaTheme="majorEastAsia" w:hAnsi="Times New Roman" w:cs="Times New Roman"/>
                    <w:sz w:val="44"/>
                    <w:szCs w:val="44"/>
                  </w:rPr>
                </w:pPr>
                <w:r w:rsidRPr="00D75FC1">
                  <w:rPr>
                    <w:rFonts w:ascii="Times New Roman" w:eastAsiaTheme="majorEastAsia" w:hAnsi="Times New Roman" w:cs="Times New Roman"/>
                    <w:sz w:val="44"/>
                    <w:szCs w:val="44"/>
                  </w:rPr>
                  <w:t>1A193008-2</w:t>
                </w:r>
              </w:p>
              <w:p w14:paraId="24B14DCA" w14:textId="6BCD62B1" w:rsidR="00D75FC1" w:rsidRPr="00D75FC1" w:rsidRDefault="00D75FC1" w:rsidP="00D75FC1">
                <w:pPr>
                  <w:spacing w:line="276" w:lineRule="auto"/>
                  <w:jc w:val="center"/>
                  <w:rPr>
                    <w:rFonts w:ascii="Times New Roman" w:eastAsiaTheme="majorEastAsia" w:hAnsi="Times New Roman" w:cs="Times New Roman"/>
                    <w:sz w:val="44"/>
                    <w:szCs w:val="44"/>
                  </w:rPr>
                </w:pPr>
                <w:r w:rsidRPr="00D75FC1">
                  <w:rPr>
                    <w:rFonts w:ascii="Times New Roman" w:eastAsiaTheme="majorEastAsia" w:hAnsi="Times New Roman" w:cs="Times New Roman"/>
                    <w:sz w:val="44"/>
                    <w:szCs w:val="44"/>
                  </w:rPr>
                  <w:t>AWADE Beta 81</w:t>
                </w:r>
              </w:p>
              <w:p w14:paraId="4101F89A" w14:textId="2F2D09E4" w:rsidR="00D75FC1" w:rsidRPr="00D75FC1" w:rsidRDefault="00D75FC1" w:rsidP="00D75FC1">
                <w:pPr>
                  <w:spacing w:line="276" w:lineRule="auto"/>
                  <w:jc w:val="center"/>
                  <w:rPr>
                    <w:rFonts w:ascii="Times New Roman" w:eastAsiaTheme="majorEastAsia" w:hAnsi="Times New Roman" w:cs="Times New Roman"/>
                    <w:sz w:val="44"/>
                    <w:szCs w:val="44"/>
                  </w:rPr>
                </w:pPr>
                <w:r w:rsidRPr="00D75FC1">
                  <w:rPr>
                    <w:rFonts w:ascii="Times New Roman" w:eastAsiaTheme="majorEastAsia" w:hAnsi="Times New Roman" w:cs="Times New Roman"/>
                    <w:sz w:val="44"/>
                    <w:szCs w:val="44"/>
                  </w:rPr>
                  <w:t>Sarah Miyoshi Deutchman</w:t>
                </w:r>
              </w:p>
              <w:p w14:paraId="6DE14086" w14:textId="379A588F" w:rsidR="00D75FC1" w:rsidRPr="00D75FC1" w:rsidRDefault="00D75FC1" w:rsidP="00D75FC1">
                <w:pPr>
                  <w:spacing w:line="276" w:lineRule="auto"/>
                  <w:jc w:val="center"/>
                  <w:rPr>
                    <w:rFonts w:ascii="Times New Roman" w:eastAsiaTheme="majorEastAsia" w:hAnsi="Times New Roman" w:cs="Times New Roman"/>
                    <w:sz w:val="44"/>
                    <w:szCs w:val="44"/>
                  </w:rPr>
                </w:pPr>
                <w:r w:rsidRPr="00D75FC1">
                  <w:rPr>
                    <w:rFonts w:ascii="Times New Roman" w:eastAsiaTheme="majorEastAsia" w:hAnsi="Times New Roman" w:cs="Times New Roman"/>
                    <w:sz w:val="44"/>
                    <w:szCs w:val="44"/>
                  </w:rPr>
                  <w:t>Waseda University</w:t>
                </w:r>
              </w:p>
              <w:p w14:paraId="03AB0AF5" w14:textId="77777777" w:rsidR="00D75FC1" w:rsidRPr="00510CA0" w:rsidRDefault="00D75FC1" w:rsidP="00D75FC1">
                <w:pPr>
                  <w:spacing w:line="276" w:lineRule="auto"/>
                  <w:jc w:val="center"/>
                  <w:rPr>
                    <w:rFonts w:asciiTheme="majorHAnsi" w:eastAsiaTheme="majorEastAsia" w:hAnsiTheme="majorHAnsi" w:cstheme="majorBidi"/>
                    <w:sz w:val="44"/>
                    <w:szCs w:val="44"/>
                  </w:rPr>
                </w:pPr>
                <w:r w:rsidRPr="00D75FC1">
                  <w:rPr>
                    <w:rFonts w:ascii="Times New Roman" w:eastAsiaTheme="majorEastAsia" w:hAnsi="Times New Roman" w:cs="Times New Roman"/>
                    <w:sz w:val="44"/>
                    <w:szCs w:val="44"/>
                  </w:rPr>
                  <w:t>February 2, 2020</w:t>
                </w:r>
                <w:r>
                  <w:rPr>
                    <w:rFonts w:asciiTheme="majorHAnsi" w:eastAsiaTheme="majorEastAsia" w:hAnsiTheme="majorHAnsi" w:cstheme="majorBidi"/>
                    <w:sz w:val="44"/>
                    <w:szCs w:val="44"/>
                  </w:rPr>
                  <w:t xml:space="preserve"> </w:t>
                </w:r>
              </w:p>
            </w:tc>
          </w:tr>
        </w:tbl>
        <w:p w14:paraId="3C15CF41" w14:textId="4598F33D" w:rsidR="00D75FC1" w:rsidRDefault="00D75FC1" w:rsidP="00D75FC1">
          <w:pPr>
            <w:jc w:val="center"/>
          </w:pPr>
        </w:p>
        <w:p w14:paraId="32D180EA" w14:textId="2A4B5771" w:rsidR="00D75FC1" w:rsidRDefault="00D75FC1" w:rsidP="00D75FC1">
          <w:pPr>
            <w:jc w:val="center"/>
          </w:pPr>
        </w:p>
        <w:p w14:paraId="27665A00" w14:textId="1C978493" w:rsidR="00D75FC1" w:rsidRDefault="00D75FC1" w:rsidP="00D75FC1">
          <w:pPr>
            <w:jc w:val="center"/>
          </w:pPr>
        </w:p>
        <w:p w14:paraId="7BC5B552" w14:textId="6AC9F449" w:rsidR="00D75FC1" w:rsidRDefault="00D75FC1" w:rsidP="00D75FC1">
          <w:pPr>
            <w:jc w:val="center"/>
          </w:pPr>
        </w:p>
        <w:p w14:paraId="60AD8B21" w14:textId="7CBF5F81" w:rsidR="00D75FC1" w:rsidRDefault="00D75FC1" w:rsidP="00D75FC1">
          <w:pPr>
            <w:jc w:val="center"/>
          </w:pPr>
        </w:p>
        <w:p w14:paraId="54BFD4FE" w14:textId="77777777" w:rsidR="00D75FC1" w:rsidRDefault="00D75FC1" w:rsidP="00D75FC1">
          <w:pPr>
            <w:jc w:val="center"/>
          </w:pPr>
        </w:p>
        <w:p w14:paraId="344F7432" w14:textId="37442BC9" w:rsidR="00A14ED8" w:rsidRDefault="00D75FC1" w:rsidP="00D75FC1">
          <w:pPr>
            <w:rPr>
              <w:rFonts w:ascii="Times New Roman" w:hAnsi="Times New Roman" w:cs="Times New Roman"/>
            </w:rPr>
          </w:pPr>
          <w:r>
            <w:rPr>
              <w:rFonts w:ascii="Times New Roman" w:hAnsi="Times New Roman" w:cs="Times New Roman"/>
            </w:rPr>
            <w:br w:type="page"/>
          </w:r>
        </w:p>
      </w:sdtContent>
    </w:sdt>
    <w:p w14:paraId="08D86E1C" w14:textId="4D507C96" w:rsidR="00D75FC1" w:rsidRDefault="00003B0E" w:rsidP="00D75FC1">
      <w:pPr>
        <w:spacing w:line="480" w:lineRule="auto"/>
        <w:rPr>
          <w:rFonts w:ascii="Times New Roman" w:hAnsi="Times New Roman" w:cs="Times New Roman"/>
          <w:b/>
          <w:bCs/>
        </w:rPr>
      </w:pPr>
      <w:r w:rsidRPr="00D75FC1">
        <w:rPr>
          <w:rFonts w:ascii="Times New Roman" w:hAnsi="Times New Roman" w:cs="Times New Roman"/>
          <w:b/>
          <w:bCs/>
        </w:rPr>
        <w:lastRenderedPageBreak/>
        <w:t>Introduction</w:t>
      </w:r>
    </w:p>
    <w:p w14:paraId="571AD728" w14:textId="77777777" w:rsidR="00D75FC1" w:rsidRPr="00D75FC1" w:rsidRDefault="00D75FC1" w:rsidP="00D75FC1">
      <w:pPr>
        <w:spacing w:line="480" w:lineRule="auto"/>
        <w:rPr>
          <w:rFonts w:ascii="Times New Roman" w:hAnsi="Times New Roman" w:cs="Times New Roman"/>
          <w:b/>
          <w:bCs/>
        </w:rPr>
      </w:pPr>
    </w:p>
    <w:p w14:paraId="4891EB24" w14:textId="21157F42" w:rsidR="007175FE" w:rsidRDefault="007175FE" w:rsidP="00D75FC1">
      <w:pPr>
        <w:spacing w:line="480" w:lineRule="auto"/>
        <w:ind w:firstLine="720"/>
        <w:contextualSpacing/>
        <w:rPr>
          <w:rFonts w:ascii="Times New Roman" w:hAnsi="Times New Roman" w:cs="Times New Roman"/>
        </w:rPr>
      </w:pPr>
      <w:r w:rsidRPr="00F51FB2">
        <w:rPr>
          <w:rFonts w:ascii="Times New Roman" w:hAnsi="Times New Roman" w:cs="Times New Roman"/>
        </w:rPr>
        <w:t xml:space="preserve">Many people, especially the poor, intuitively know that the present society does not ensure an equal chance at success to its constituents. However, the degree to which opportunities, especially in the field of education, are distributed partially and unequally would be a surprise to most. From a young age people are told that they live in a society that operates under the fundamental principle of meritocracy, where the strong and hardworking succeed and the weak and lazy fail. Meritocracy is a concept particularly attributed to school and education. </w:t>
      </w:r>
      <w:r w:rsidR="00D75FC1">
        <w:rPr>
          <w:rFonts w:ascii="Times New Roman" w:hAnsi="Times New Roman" w:cs="Times New Roman"/>
        </w:rPr>
        <w:t xml:space="preserve">Indeed, </w:t>
      </w:r>
      <w:r w:rsidRPr="00F51FB2">
        <w:rPr>
          <w:rFonts w:ascii="Times New Roman" w:hAnsi="Times New Roman" w:cs="Times New Roman"/>
        </w:rPr>
        <w:t xml:space="preserve">people of advanced industrial societies with high enrollment rates are </w:t>
      </w:r>
      <w:r w:rsidR="00D75FC1">
        <w:rPr>
          <w:rFonts w:ascii="Times New Roman" w:hAnsi="Times New Roman" w:cs="Times New Roman"/>
        </w:rPr>
        <w:t xml:space="preserve">regularly </w:t>
      </w:r>
      <w:r w:rsidRPr="00F51FB2">
        <w:rPr>
          <w:rFonts w:ascii="Times New Roman" w:hAnsi="Times New Roman" w:cs="Times New Roman"/>
        </w:rPr>
        <w:t xml:space="preserve">told that the opportunity to pursue education is open to all, and that the most well equipped and diligent are programmed to succeed. In reality, however, equality of opportunity to pursue education, in particular higher education at reputable institutions, is distributed in favor of a certain demographic: the economic middle and upper classes. There have been numerous studies conducted hitherto which have pointed out a positive correlation between </w:t>
      </w:r>
      <w:r w:rsidR="00045567">
        <w:rPr>
          <w:rFonts w:ascii="Times New Roman" w:hAnsi="Times New Roman" w:cs="Times New Roman"/>
        </w:rPr>
        <w:t>economic background</w:t>
      </w:r>
      <w:r w:rsidRPr="00F51FB2">
        <w:rPr>
          <w:rFonts w:ascii="Times New Roman" w:hAnsi="Times New Roman" w:cs="Times New Roman"/>
        </w:rPr>
        <w:t xml:space="preserve"> and educational attainment</w:t>
      </w:r>
      <w:r>
        <w:rPr>
          <w:rFonts w:ascii="Times New Roman" w:hAnsi="Times New Roman" w:cs="Times New Roman"/>
        </w:rPr>
        <w:t xml:space="preserve">. </w:t>
      </w:r>
    </w:p>
    <w:p w14:paraId="623CC066" w14:textId="496F492B" w:rsidR="00A14ED8" w:rsidRDefault="00D75FC1" w:rsidP="00B85288">
      <w:pPr>
        <w:spacing w:line="480" w:lineRule="auto"/>
        <w:ind w:firstLine="720"/>
        <w:contextualSpacing/>
        <w:rPr>
          <w:rFonts w:ascii="Times New Roman" w:hAnsi="Times New Roman" w:cs="Times New Roman"/>
        </w:rPr>
      </w:pPr>
      <w:r>
        <w:rPr>
          <w:rFonts w:ascii="Times New Roman" w:hAnsi="Times New Roman" w:cs="Times New Roman"/>
        </w:rPr>
        <w:t>This paper will build on past research examining the relationship between educational inequality and class differences by suggesting a new, alternative theory</w:t>
      </w:r>
      <w:r w:rsidR="007E2862">
        <w:rPr>
          <w:rFonts w:ascii="Times New Roman" w:hAnsi="Times New Roman" w:cs="Times New Roman"/>
        </w:rPr>
        <w:t xml:space="preserve"> </w:t>
      </w:r>
      <w:r>
        <w:rPr>
          <w:rFonts w:ascii="Times New Roman" w:hAnsi="Times New Roman" w:cs="Times New Roman"/>
        </w:rPr>
        <w:t xml:space="preserve">that focuses on the concept of delayed gratification in explaining the performance gap </w:t>
      </w:r>
      <w:r w:rsidR="00780969">
        <w:rPr>
          <w:rFonts w:ascii="Times New Roman" w:hAnsi="Times New Roman" w:cs="Times New Roman"/>
        </w:rPr>
        <w:t xml:space="preserve">within </w:t>
      </w:r>
      <w:r>
        <w:rPr>
          <w:rFonts w:ascii="Times New Roman" w:hAnsi="Times New Roman" w:cs="Times New Roman"/>
        </w:rPr>
        <w:t xml:space="preserve">academia between the wealthy and the poor. </w:t>
      </w:r>
      <w:r w:rsidR="00AB0FED">
        <w:rPr>
          <w:rFonts w:ascii="Times New Roman" w:hAnsi="Times New Roman" w:cs="Times New Roman"/>
        </w:rPr>
        <w:t xml:space="preserve">First, the paper will briefly summarize </w:t>
      </w:r>
      <w:r w:rsidR="00BF4222">
        <w:rPr>
          <w:rFonts w:ascii="Times New Roman" w:hAnsi="Times New Roman" w:cs="Times New Roman"/>
        </w:rPr>
        <w:t xml:space="preserve">selected </w:t>
      </w:r>
      <w:r w:rsidR="00AB0FED">
        <w:rPr>
          <w:rFonts w:ascii="Times New Roman" w:hAnsi="Times New Roman" w:cs="Times New Roman"/>
        </w:rPr>
        <w:t xml:space="preserve">existing literature </w:t>
      </w:r>
      <w:r w:rsidR="00A93C9D">
        <w:rPr>
          <w:rFonts w:ascii="Times New Roman" w:hAnsi="Times New Roman" w:cs="Times New Roman"/>
        </w:rPr>
        <w:t xml:space="preserve">on </w:t>
      </w:r>
      <w:r w:rsidR="00973E56">
        <w:rPr>
          <w:rFonts w:ascii="Times New Roman" w:hAnsi="Times New Roman" w:cs="Times New Roman"/>
        </w:rPr>
        <w:t xml:space="preserve">how </w:t>
      </w:r>
      <w:r w:rsidR="001B1132">
        <w:rPr>
          <w:rFonts w:ascii="Times New Roman" w:hAnsi="Times New Roman" w:cs="Times New Roman"/>
        </w:rPr>
        <w:t>wealth</w:t>
      </w:r>
      <w:r w:rsidR="00973E56">
        <w:rPr>
          <w:rFonts w:ascii="Times New Roman" w:hAnsi="Times New Roman" w:cs="Times New Roman"/>
        </w:rPr>
        <w:t xml:space="preserve"> influences academic performance</w:t>
      </w:r>
      <w:r w:rsidR="00543FDA">
        <w:rPr>
          <w:rFonts w:ascii="Times New Roman" w:hAnsi="Times New Roman" w:cs="Times New Roman"/>
        </w:rPr>
        <w:t xml:space="preserve">. Then, the </w:t>
      </w:r>
      <w:r w:rsidR="00FA4C67">
        <w:rPr>
          <w:rFonts w:ascii="Times New Roman" w:hAnsi="Times New Roman" w:cs="Times New Roman"/>
        </w:rPr>
        <w:t>paper will introduce the concept of delayed gratif</w:t>
      </w:r>
      <w:r w:rsidR="00A05229">
        <w:rPr>
          <w:rFonts w:ascii="Times New Roman" w:hAnsi="Times New Roman" w:cs="Times New Roman"/>
        </w:rPr>
        <w:t>ication</w:t>
      </w:r>
      <w:r w:rsidR="007D161E">
        <w:rPr>
          <w:rFonts w:ascii="Times New Roman" w:hAnsi="Times New Roman" w:cs="Times New Roman"/>
        </w:rPr>
        <w:t xml:space="preserve">, explain its relevance to academic performance, and </w:t>
      </w:r>
      <w:r w:rsidR="007560C1">
        <w:rPr>
          <w:rFonts w:ascii="Times New Roman" w:hAnsi="Times New Roman" w:cs="Times New Roman"/>
        </w:rPr>
        <w:t xml:space="preserve">delineate the process </w:t>
      </w:r>
      <w:r w:rsidR="00517CA8">
        <w:rPr>
          <w:rFonts w:ascii="Times New Roman" w:hAnsi="Times New Roman" w:cs="Times New Roman"/>
        </w:rPr>
        <w:t>in which individuals develop this ability</w:t>
      </w:r>
      <w:r w:rsidR="0045385F">
        <w:rPr>
          <w:rFonts w:ascii="Times New Roman" w:hAnsi="Times New Roman" w:cs="Times New Roman"/>
        </w:rPr>
        <w:t>. Finally, the paper will point out</w:t>
      </w:r>
      <w:r w:rsidR="00DE7539">
        <w:rPr>
          <w:rFonts w:ascii="Times New Roman" w:hAnsi="Times New Roman" w:cs="Times New Roman"/>
        </w:rPr>
        <w:t xml:space="preserve"> how </w:t>
      </w:r>
      <w:r w:rsidR="000F1671">
        <w:rPr>
          <w:rFonts w:ascii="Times New Roman" w:hAnsi="Times New Roman" w:cs="Times New Roman"/>
        </w:rPr>
        <w:t xml:space="preserve">the </w:t>
      </w:r>
      <w:r w:rsidR="00DE7539">
        <w:rPr>
          <w:rFonts w:ascii="Times New Roman" w:hAnsi="Times New Roman" w:cs="Times New Roman"/>
        </w:rPr>
        <w:t>development</w:t>
      </w:r>
      <w:r w:rsidR="000F1671">
        <w:rPr>
          <w:rFonts w:ascii="Times New Roman" w:hAnsi="Times New Roman" w:cs="Times New Roman"/>
        </w:rPr>
        <w:t xml:space="preserve"> of this </w:t>
      </w:r>
      <w:r w:rsidR="00517CA8">
        <w:rPr>
          <w:rFonts w:ascii="Times New Roman" w:hAnsi="Times New Roman" w:cs="Times New Roman"/>
        </w:rPr>
        <w:t>ability to postpone satisfaction</w:t>
      </w:r>
      <w:r w:rsidR="00DE7539">
        <w:rPr>
          <w:rFonts w:ascii="Times New Roman" w:hAnsi="Times New Roman" w:cs="Times New Roman"/>
        </w:rPr>
        <w:t xml:space="preserve"> </w:t>
      </w:r>
      <w:r w:rsidR="000E59F5">
        <w:rPr>
          <w:rFonts w:ascii="Times New Roman" w:hAnsi="Times New Roman" w:cs="Times New Roman"/>
        </w:rPr>
        <w:t xml:space="preserve">is influenced by an individual’s </w:t>
      </w:r>
      <w:r w:rsidR="00DE7539">
        <w:rPr>
          <w:rFonts w:ascii="Times New Roman" w:hAnsi="Times New Roman" w:cs="Times New Roman"/>
        </w:rPr>
        <w:t>economic background</w:t>
      </w:r>
      <w:r w:rsidR="00726512">
        <w:rPr>
          <w:rFonts w:ascii="Times New Roman" w:hAnsi="Times New Roman" w:cs="Times New Roman"/>
        </w:rPr>
        <w:t xml:space="preserve">, </w:t>
      </w:r>
      <w:r w:rsidR="00730984">
        <w:rPr>
          <w:rFonts w:ascii="Times New Roman" w:hAnsi="Times New Roman" w:cs="Times New Roman"/>
        </w:rPr>
        <w:t xml:space="preserve">drawing the conclusion that </w:t>
      </w:r>
      <w:r w:rsidR="00CA517E">
        <w:rPr>
          <w:rFonts w:ascii="Times New Roman" w:hAnsi="Times New Roman" w:cs="Times New Roman"/>
        </w:rPr>
        <w:t>this ability</w:t>
      </w:r>
      <w:r w:rsidR="00730984">
        <w:rPr>
          <w:rFonts w:ascii="Times New Roman" w:hAnsi="Times New Roman" w:cs="Times New Roman"/>
        </w:rPr>
        <w:t xml:space="preserve"> is ye</w:t>
      </w:r>
      <w:r w:rsidR="00CA537C">
        <w:rPr>
          <w:rFonts w:ascii="Times New Roman" w:hAnsi="Times New Roman" w:cs="Times New Roman"/>
        </w:rPr>
        <w:t xml:space="preserve">t another educational advantage </w:t>
      </w:r>
      <w:r w:rsidR="00AC223C">
        <w:rPr>
          <w:rFonts w:ascii="Times New Roman" w:hAnsi="Times New Roman" w:cs="Times New Roman"/>
        </w:rPr>
        <w:t xml:space="preserve">unfairly distributed to the privileged </w:t>
      </w:r>
      <w:r w:rsidR="00010D9F">
        <w:rPr>
          <w:rFonts w:ascii="Times New Roman" w:hAnsi="Times New Roman" w:cs="Times New Roman"/>
        </w:rPr>
        <w:t>upper classes</w:t>
      </w:r>
      <w:r w:rsidR="00AC223C">
        <w:rPr>
          <w:rFonts w:ascii="Times New Roman" w:hAnsi="Times New Roman" w:cs="Times New Roman"/>
        </w:rPr>
        <w:t xml:space="preserve">. </w:t>
      </w:r>
    </w:p>
    <w:p w14:paraId="4D56C286" w14:textId="26D78496" w:rsidR="00DC5F85" w:rsidRDefault="00DC5F85" w:rsidP="00DC5F85">
      <w:pPr>
        <w:spacing w:line="480" w:lineRule="auto"/>
        <w:contextualSpacing/>
        <w:rPr>
          <w:rFonts w:ascii="Times New Roman" w:hAnsi="Times New Roman" w:cs="Times New Roman"/>
          <w:b/>
          <w:bCs/>
        </w:rPr>
      </w:pPr>
      <w:r>
        <w:rPr>
          <w:rFonts w:ascii="Times New Roman" w:hAnsi="Times New Roman" w:cs="Times New Roman"/>
          <w:b/>
          <w:bCs/>
        </w:rPr>
        <w:lastRenderedPageBreak/>
        <w:t>Existing Literature</w:t>
      </w:r>
    </w:p>
    <w:p w14:paraId="35063513" w14:textId="06E4CAB7" w:rsidR="00DC5F85" w:rsidRDefault="00DC5F85" w:rsidP="00DC5F85">
      <w:pPr>
        <w:spacing w:line="480" w:lineRule="auto"/>
        <w:contextualSpacing/>
        <w:rPr>
          <w:rFonts w:ascii="Times New Roman" w:hAnsi="Times New Roman" w:cs="Times New Roman"/>
        </w:rPr>
      </w:pPr>
      <w:r>
        <w:rPr>
          <w:rFonts w:ascii="Times New Roman" w:hAnsi="Times New Roman" w:cs="Times New Roman"/>
        </w:rPr>
        <w:tab/>
      </w:r>
    </w:p>
    <w:p w14:paraId="5E490C6D" w14:textId="433182A2" w:rsidR="00BF3B67" w:rsidRDefault="00DC5F85" w:rsidP="00DC5F85">
      <w:pPr>
        <w:spacing w:line="480" w:lineRule="auto"/>
        <w:contextualSpacing/>
        <w:rPr>
          <w:rFonts w:ascii="Times New Roman" w:hAnsi="Times New Roman" w:cs="Times New Roman"/>
        </w:rPr>
      </w:pPr>
      <w:r>
        <w:rPr>
          <w:rFonts w:ascii="Times New Roman" w:hAnsi="Times New Roman" w:cs="Times New Roman"/>
        </w:rPr>
        <w:tab/>
      </w:r>
      <w:r w:rsidR="009F7CC2">
        <w:rPr>
          <w:rFonts w:ascii="Times New Roman" w:hAnsi="Times New Roman" w:cs="Times New Roman"/>
        </w:rPr>
        <w:t xml:space="preserve">In 1966 a </w:t>
      </w:r>
      <w:r w:rsidR="000D3252">
        <w:rPr>
          <w:rFonts w:ascii="Times New Roman" w:hAnsi="Times New Roman" w:cs="Times New Roman"/>
        </w:rPr>
        <w:t>groundbreaking</w:t>
      </w:r>
      <w:r w:rsidR="009F7CC2">
        <w:rPr>
          <w:rFonts w:ascii="Times New Roman" w:hAnsi="Times New Roman" w:cs="Times New Roman"/>
        </w:rPr>
        <w:t xml:space="preserve"> government survey conducted by James Coleman </w:t>
      </w:r>
      <w:r w:rsidR="000D3252">
        <w:rPr>
          <w:rFonts w:ascii="Times New Roman" w:hAnsi="Times New Roman" w:cs="Times New Roman"/>
        </w:rPr>
        <w:t xml:space="preserve">showed that children from low socioeconomic backgrounds tended to perform worse in academia than their wealthier counterparts. The report also concluded that </w:t>
      </w:r>
      <w:r w:rsidR="00E854FA">
        <w:rPr>
          <w:rFonts w:ascii="Times New Roman" w:hAnsi="Times New Roman" w:cs="Times New Roman"/>
        </w:rPr>
        <w:t xml:space="preserve">school differences and differences in level of </w:t>
      </w:r>
      <w:r w:rsidR="00E854FA" w:rsidRPr="00E854FA">
        <w:rPr>
          <w:rFonts w:ascii="Times New Roman" w:hAnsi="Times New Roman" w:cs="Times New Roman"/>
          <w:i/>
          <w:iCs/>
        </w:rPr>
        <w:t xml:space="preserve">shadow education </w:t>
      </w:r>
      <w:r w:rsidR="00E854FA">
        <w:rPr>
          <w:rFonts w:ascii="Times New Roman" w:hAnsi="Times New Roman" w:cs="Times New Roman"/>
        </w:rPr>
        <w:t>(educational pursuits and courses outside of regular school)</w:t>
      </w:r>
      <w:r w:rsidR="00015019">
        <w:rPr>
          <w:rFonts w:ascii="Times New Roman" w:hAnsi="Times New Roman" w:cs="Times New Roman"/>
        </w:rPr>
        <w:t>, though not negligible,</w:t>
      </w:r>
      <w:r w:rsidR="00E854FA">
        <w:rPr>
          <w:rFonts w:ascii="Times New Roman" w:hAnsi="Times New Roman" w:cs="Times New Roman"/>
        </w:rPr>
        <w:t xml:space="preserve"> </w:t>
      </w:r>
      <w:r w:rsidR="00E952E6">
        <w:rPr>
          <w:rFonts w:ascii="Times New Roman" w:hAnsi="Times New Roman" w:cs="Times New Roman"/>
        </w:rPr>
        <w:t xml:space="preserve">had relatively low explanatory power in explaining </w:t>
      </w:r>
      <w:r w:rsidR="00B42FF5">
        <w:rPr>
          <w:rFonts w:ascii="Times New Roman" w:hAnsi="Times New Roman" w:cs="Times New Roman"/>
        </w:rPr>
        <w:t xml:space="preserve">this performance gap. Since this report, numerous studies have been conducted and theories have been </w:t>
      </w:r>
      <w:r w:rsidR="00032C10">
        <w:rPr>
          <w:rFonts w:ascii="Times New Roman" w:hAnsi="Times New Roman" w:cs="Times New Roman"/>
        </w:rPr>
        <w:t xml:space="preserve">devised to explain the relationship between socioeconomic class and school performance. </w:t>
      </w:r>
      <w:r w:rsidR="00ED36BB">
        <w:rPr>
          <w:rFonts w:ascii="Times New Roman" w:hAnsi="Times New Roman" w:cs="Times New Roman"/>
        </w:rPr>
        <w:t>Bowles and Gintis (197</w:t>
      </w:r>
      <w:r w:rsidR="00232C6D">
        <w:rPr>
          <w:rFonts w:ascii="Times New Roman" w:hAnsi="Times New Roman" w:cs="Times New Roman"/>
        </w:rPr>
        <w:t>6</w:t>
      </w:r>
      <w:r w:rsidR="00ED36BB">
        <w:rPr>
          <w:rFonts w:ascii="Times New Roman" w:hAnsi="Times New Roman" w:cs="Times New Roman"/>
        </w:rPr>
        <w:t xml:space="preserve">) argued that </w:t>
      </w:r>
      <w:r w:rsidR="006F7FF4">
        <w:rPr>
          <w:rFonts w:ascii="Times New Roman" w:hAnsi="Times New Roman" w:cs="Times New Roman"/>
        </w:rPr>
        <w:t xml:space="preserve">working class students are </w:t>
      </w:r>
      <w:r w:rsidR="007204DA">
        <w:rPr>
          <w:rFonts w:ascii="Times New Roman" w:hAnsi="Times New Roman" w:cs="Times New Roman"/>
        </w:rPr>
        <w:t>instructed</w:t>
      </w:r>
      <w:r w:rsidR="006F7FF4">
        <w:rPr>
          <w:rFonts w:ascii="Times New Roman" w:hAnsi="Times New Roman" w:cs="Times New Roman"/>
        </w:rPr>
        <w:t xml:space="preserve"> in school to be obedient and </w:t>
      </w:r>
      <w:r w:rsidR="007204DA">
        <w:rPr>
          <w:rFonts w:ascii="Times New Roman" w:hAnsi="Times New Roman" w:cs="Times New Roman"/>
        </w:rPr>
        <w:t xml:space="preserve">prevented from developing creativity and critical thinking skills. </w:t>
      </w:r>
      <w:r w:rsidR="003F1A9E">
        <w:rPr>
          <w:rFonts w:ascii="Times New Roman" w:hAnsi="Times New Roman" w:cs="Times New Roman"/>
        </w:rPr>
        <w:t>Bourdieu (</w:t>
      </w:r>
      <w:r w:rsidR="00135D20">
        <w:rPr>
          <w:rFonts w:ascii="Times New Roman" w:hAnsi="Times New Roman" w:cs="Times New Roman"/>
        </w:rPr>
        <w:t xml:space="preserve">1984) introduced the concept of cultural capital to explain that wealth afforded the children of </w:t>
      </w:r>
      <w:r w:rsidR="001E5AA4">
        <w:rPr>
          <w:rFonts w:ascii="Times New Roman" w:hAnsi="Times New Roman" w:cs="Times New Roman"/>
        </w:rPr>
        <w:t>upper-class</w:t>
      </w:r>
      <w:r w:rsidR="00135D20">
        <w:rPr>
          <w:rFonts w:ascii="Times New Roman" w:hAnsi="Times New Roman" w:cs="Times New Roman"/>
        </w:rPr>
        <w:t xml:space="preserve"> </w:t>
      </w:r>
      <w:r w:rsidR="001E5AA4">
        <w:rPr>
          <w:rFonts w:ascii="Times New Roman" w:hAnsi="Times New Roman" w:cs="Times New Roman"/>
        </w:rPr>
        <w:t>backgrounds</w:t>
      </w:r>
      <w:r w:rsidR="00135D20">
        <w:rPr>
          <w:rFonts w:ascii="Times New Roman" w:hAnsi="Times New Roman" w:cs="Times New Roman"/>
        </w:rPr>
        <w:t xml:space="preserve"> extensive knowledge on the intricacies of cultur</w:t>
      </w:r>
      <w:r w:rsidR="001E5AA4">
        <w:rPr>
          <w:rFonts w:ascii="Times New Roman" w:hAnsi="Times New Roman" w:cs="Times New Roman"/>
        </w:rPr>
        <w:t>e</w:t>
      </w:r>
      <w:r w:rsidR="00135D20">
        <w:rPr>
          <w:rFonts w:ascii="Times New Roman" w:hAnsi="Times New Roman" w:cs="Times New Roman"/>
        </w:rPr>
        <w:t xml:space="preserve"> </w:t>
      </w:r>
      <w:r w:rsidR="009E402F">
        <w:rPr>
          <w:rFonts w:ascii="Times New Roman" w:hAnsi="Times New Roman" w:cs="Times New Roman"/>
        </w:rPr>
        <w:t>which</w:t>
      </w:r>
      <w:r w:rsidR="00135D20">
        <w:rPr>
          <w:rFonts w:ascii="Times New Roman" w:hAnsi="Times New Roman" w:cs="Times New Roman"/>
        </w:rPr>
        <w:t xml:space="preserve"> worked as an advantage in school. </w:t>
      </w:r>
      <w:r w:rsidR="00BF3B67">
        <w:rPr>
          <w:rFonts w:ascii="Times New Roman" w:hAnsi="Times New Roman" w:cs="Times New Roman"/>
        </w:rPr>
        <w:t>Similarly, Bernstein (</w:t>
      </w:r>
      <w:r w:rsidR="006A06B8">
        <w:rPr>
          <w:rFonts w:ascii="Times New Roman" w:hAnsi="Times New Roman" w:cs="Times New Roman"/>
        </w:rPr>
        <w:t>2009</w:t>
      </w:r>
      <w:r w:rsidR="00BF3B67">
        <w:rPr>
          <w:rFonts w:ascii="Times New Roman" w:hAnsi="Times New Roman" w:cs="Times New Roman"/>
        </w:rPr>
        <w:t xml:space="preserve">) contested that </w:t>
      </w:r>
      <w:r w:rsidR="00AE5D8E">
        <w:rPr>
          <w:rFonts w:ascii="Times New Roman" w:hAnsi="Times New Roman" w:cs="Times New Roman"/>
        </w:rPr>
        <w:t xml:space="preserve">schools reward middle-class communication codes and neglect lower-class codes, marginalizing the economically disadvantaged through language. </w:t>
      </w:r>
    </w:p>
    <w:p w14:paraId="6D9630AF" w14:textId="33699498" w:rsidR="00F604AF" w:rsidRDefault="00FE033A" w:rsidP="000877C0">
      <w:pPr>
        <w:spacing w:line="480" w:lineRule="auto"/>
        <w:contextualSpacing/>
        <w:rPr>
          <w:rFonts w:ascii="Times New Roman" w:hAnsi="Times New Roman" w:cs="Times New Roman"/>
        </w:rPr>
      </w:pPr>
      <w:r>
        <w:rPr>
          <w:rFonts w:ascii="Times New Roman" w:hAnsi="Times New Roman" w:cs="Times New Roman"/>
        </w:rPr>
        <w:tab/>
        <w:t xml:space="preserve">These theories and many more are important in explaining educational inequality as caused by class differences. The remainder of this paper puts forth a new explanation </w:t>
      </w:r>
      <w:r w:rsidR="004D4F53">
        <w:rPr>
          <w:rFonts w:ascii="Times New Roman" w:hAnsi="Times New Roman" w:cs="Times New Roman"/>
        </w:rPr>
        <w:t xml:space="preserve">which finds the root of educational inequality in differences in individual students’ capacity to learn by employing the concept of delayed gratification. This explanation should be regarded not as replacing the existing literature on school inequality and class differences but complementary to it. </w:t>
      </w:r>
    </w:p>
    <w:p w14:paraId="74765B9D" w14:textId="77777777" w:rsidR="000877C0" w:rsidRPr="00F51FB2" w:rsidRDefault="000877C0" w:rsidP="000877C0">
      <w:pPr>
        <w:spacing w:line="480" w:lineRule="auto"/>
        <w:contextualSpacing/>
        <w:rPr>
          <w:rFonts w:ascii="Times New Roman" w:hAnsi="Times New Roman" w:cs="Times New Roman"/>
        </w:rPr>
      </w:pPr>
    </w:p>
    <w:p w14:paraId="31992096" w14:textId="4FAE013D" w:rsidR="007175FE" w:rsidRPr="00D75FC1" w:rsidRDefault="007175FE" w:rsidP="00003B0E">
      <w:pPr>
        <w:spacing w:line="480" w:lineRule="auto"/>
        <w:contextualSpacing/>
        <w:rPr>
          <w:rFonts w:ascii="Times New Roman" w:hAnsi="Times New Roman" w:cs="Times New Roman"/>
          <w:b/>
          <w:bCs/>
        </w:rPr>
      </w:pPr>
      <w:r w:rsidRPr="00D75FC1">
        <w:rPr>
          <w:rFonts w:ascii="Times New Roman" w:hAnsi="Times New Roman" w:cs="Times New Roman"/>
          <w:b/>
          <w:bCs/>
        </w:rPr>
        <w:t>Delayed Gratification: An Educational Asset</w:t>
      </w:r>
    </w:p>
    <w:p w14:paraId="6172687C" w14:textId="77777777" w:rsidR="00A14ED8" w:rsidRPr="00F51FB2" w:rsidRDefault="00A14ED8" w:rsidP="00003B0E">
      <w:pPr>
        <w:spacing w:line="480" w:lineRule="auto"/>
        <w:contextualSpacing/>
        <w:rPr>
          <w:rFonts w:ascii="Times New Roman" w:hAnsi="Times New Roman" w:cs="Times New Roman"/>
        </w:rPr>
      </w:pPr>
    </w:p>
    <w:p w14:paraId="5A83E0A0" w14:textId="55868A13" w:rsidR="007175FE" w:rsidRDefault="007175FE" w:rsidP="00003B0E">
      <w:pPr>
        <w:spacing w:line="480" w:lineRule="auto"/>
        <w:contextualSpacing/>
        <w:rPr>
          <w:rFonts w:ascii="Times New Roman" w:hAnsi="Times New Roman" w:cs="Times New Roman"/>
        </w:rPr>
      </w:pPr>
      <w:r w:rsidRPr="00F51FB2">
        <w:rPr>
          <w:rFonts w:ascii="Times New Roman" w:hAnsi="Times New Roman" w:cs="Times New Roman"/>
        </w:rPr>
        <w:lastRenderedPageBreak/>
        <w:tab/>
        <w:t>In 1972, a group of Stanford scholars conducted an experiment where they examined the ability of children to delay immediate gratification in return for a higher value reward later in time (</w:t>
      </w:r>
      <w:proofErr w:type="spellStart"/>
      <w:r w:rsidRPr="00F51FB2">
        <w:rPr>
          <w:rFonts w:ascii="Times New Roman" w:hAnsi="Times New Roman" w:cs="Times New Roman"/>
        </w:rPr>
        <w:t>Mischel</w:t>
      </w:r>
      <w:proofErr w:type="spellEnd"/>
      <w:r w:rsidRPr="00F51FB2">
        <w:rPr>
          <w:rFonts w:ascii="Times New Roman" w:hAnsi="Times New Roman" w:cs="Times New Roman"/>
        </w:rPr>
        <w:t xml:space="preserve">, </w:t>
      </w:r>
      <w:proofErr w:type="spellStart"/>
      <w:r w:rsidRPr="00F51FB2">
        <w:rPr>
          <w:rFonts w:ascii="Times New Roman" w:hAnsi="Times New Roman" w:cs="Times New Roman"/>
        </w:rPr>
        <w:t>Ebbesen</w:t>
      </w:r>
      <w:proofErr w:type="spellEnd"/>
      <w:r w:rsidRPr="00F51FB2">
        <w:rPr>
          <w:rFonts w:ascii="Times New Roman" w:hAnsi="Times New Roman" w:cs="Times New Roman"/>
        </w:rPr>
        <w:t xml:space="preserve">, &amp; Zeiss, 1972). The now famous Stanford marshmallow experiment, along with </w:t>
      </w:r>
      <w:r w:rsidR="006A7FA2">
        <w:rPr>
          <w:rFonts w:ascii="Times New Roman" w:hAnsi="Times New Roman" w:cs="Times New Roman"/>
        </w:rPr>
        <w:t xml:space="preserve">its </w:t>
      </w:r>
      <w:r w:rsidRPr="00F51FB2">
        <w:rPr>
          <w:rFonts w:ascii="Times New Roman" w:hAnsi="Times New Roman" w:cs="Times New Roman"/>
        </w:rPr>
        <w:t>follow up experiments, showed that children who could delay gratification for longer times tended to have higher SAT scores (</w:t>
      </w:r>
      <w:proofErr w:type="spellStart"/>
      <w:r w:rsidRPr="00F51FB2">
        <w:rPr>
          <w:rFonts w:ascii="Times New Roman" w:hAnsi="Times New Roman" w:cs="Times New Roman"/>
        </w:rPr>
        <w:t>Mischel</w:t>
      </w:r>
      <w:proofErr w:type="spellEnd"/>
      <w:r w:rsidRPr="00F51FB2">
        <w:rPr>
          <w:rFonts w:ascii="Times New Roman" w:hAnsi="Times New Roman" w:cs="Times New Roman"/>
        </w:rPr>
        <w:t xml:space="preserve">, </w:t>
      </w:r>
      <w:proofErr w:type="spellStart"/>
      <w:r w:rsidRPr="00F51FB2">
        <w:rPr>
          <w:rFonts w:ascii="Times New Roman" w:hAnsi="Times New Roman" w:cs="Times New Roman"/>
        </w:rPr>
        <w:t>Shoda</w:t>
      </w:r>
      <w:proofErr w:type="spellEnd"/>
      <w:r w:rsidRPr="00F51FB2">
        <w:rPr>
          <w:rFonts w:ascii="Times New Roman" w:hAnsi="Times New Roman" w:cs="Times New Roman"/>
        </w:rPr>
        <w:t xml:space="preserve">, &amp; Rodriguez, 1989) and </w:t>
      </w:r>
      <w:r w:rsidR="006A7FA2">
        <w:rPr>
          <w:rFonts w:ascii="Times New Roman" w:hAnsi="Times New Roman" w:cs="Times New Roman"/>
        </w:rPr>
        <w:t xml:space="preserve">higher </w:t>
      </w:r>
      <w:r w:rsidRPr="00F51FB2">
        <w:rPr>
          <w:rFonts w:ascii="Times New Roman" w:hAnsi="Times New Roman" w:cs="Times New Roman"/>
        </w:rPr>
        <w:t>educational attainment (</w:t>
      </w:r>
      <w:proofErr w:type="spellStart"/>
      <w:r w:rsidRPr="00F51FB2">
        <w:rPr>
          <w:rFonts w:ascii="Times New Roman" w:hAnsi="Times New Roman" w:cs="Times New Roman"/>
        </w:rPr>
        <w:t>Ayduk</w:t>
      </w:r>
      <w:proofErr w:type="spellEnd"/>
      <w:r w:rsidRPr="00F51FB2">
        <w:rPr>
          <w:rFonts w:ascii="Times New Roman" w:hAnsi="Times New Roman" w:cs="Times New Roman"/>
        </w:rPr>
        <w:t xml:space="preserve"> et al., 2000). </w:t>
      </w:r>
      <w:r w:rsidR="004D1C4E">
        <w:rPr>
          <w:rFonts w:ascii="Times New Roman" w:hAnsi="Times New Roman" w:cs="Times New Roman"/>
        </w:rPr>
        <w:t xml:space="preserve">A </w:t>
      </w:r>
      <w:r w:rsidR="00D22EDC">
        <w:rPr>
          <w:rFonts w:ascii="Times New Roman" w:hAnsi="Times New Roman" w:cs="Times New Roman"/>
        </w:rPr>
        <w:t>recently conducted replica of the 1972 Stanford experiment yielded similar results (</w:t>
      </w:r>
      <w:r w:rsidR="00AF1961">
        <w:rPr>
          <w:rFonts w:ascii="Times New Roman" w:hAnsi="Times New Roman" w:cs="Times New Roman"/>
        </w:rPr>
        <w:t xml:space="preserve">Watts, Duncan, &amp; Quan, </w:t>
      </w:r>
      <w:r w:rsidR="00C751B6">
        <w:rPr>
          <w:rFonts w:ascii="Times New Roman" w:hAnsi="Times New Roman" w:cs="Times New Roman"/>
        </w:rPr>
        <w:t xml:space="preserve">2018). </w:t>
      </w:r>
      <w:r w:rsidRPr="00F51FB2">
        <w:rPr>
          <w:rFonts w:ascii="Times New Roman" w:hAnsi="Times New Roman" w:cs="Times New Roman"/>
        </w:rPr>
        <w:t xml:space="preserve">This indicates that the ability to delay gratification is an asset that improves academic performance. Studying and schoolwork are widely considered to be burdensome tasks, but their rewards are held with high regard. It is not hard to imagine how having the ability to postpone immediate </w:t>
      </w:r>
      <w:r w:rsidR="006A7FA2">
        <w:rPr>
          <w:rFonts w:ascii="Times New Roman" w:hAnsi="Times New Roman" w:cs="Times New Roman"/>
        </w:rPr>
        <w:t>gratification</w:t>
      </w:r>
      <w:r w:rsidR="006A7FA2" w:rsidRPr="00F51FB2">
        <w:rPr>
          <w:rFonts w:ascii="Times New Roman" w:hAnsi="Times New Roman" w:cs="Times New Roman"/>
        </w:rPr>
        <w:t xml:space="preserve"> </w:t>
      </w:r>
      <w:r w:rsidRPr="00F51FB2">
        <w:rPr>
          <w:rFonts w:ascii="Times New Roman" w:hAnsi="Times New Roman" w:cs="Times New Roman"/>
        </w:rPr>
        <w:t xml:space="preserve">in order to achieve satisfaction of a higher order is conducive to improving academic performance. </w:t>
      </w:r>
    </w:p>
    <w:p w14:paraId="104D3491" w14:textId="77777777" w:rsidR="007175FE" w:rsidRPr="00D75FC1" w:rsidRDefault="007175FE" w:rsidP="00003B0E">
      <w:pPr>
        <w:spacing w:line="480" w:lineRule="auto"/>
        <w:contextualSpacing/>
        <w:rPr>
          <w:rFonts w:ascii="Times New Roman" w:hAnsi="Times New Roman" w:cs="Times New Roman"/>
          <w:b/>
          <w:bCs/>
        </w:rPr>
      </w:pPr>
    </w:p>
    <w:p w14:paraId="7CE65B5D" w14:textId="0DFF9D57" w:rsidR="007175FE" w:rsidRPr="00D75FC1" w:rsidRDefault="00D75FC1" w:rsidP="00003B0E">
      <w:pPr>
        <w:spacing w:line="480" w:lineRule="auto"/>
        <w:contextualSpacing/>
        <w:rPr>
          <w:rFonts w:ascii="Times New Roman" w:hAnsi="Times New Roman" w:cs="Times New Roman"/>
          <w:b/>
          <w:bCs/>
        </w:rPr>
      </w:pPr>
      <w:r>
        <w:rPr>
          <w:rFonts w:ascii="Times New Roman" w:hAnsi="Times New Roman" w:cs="Times New Roman"/>
          <w:b/>
          <w:bCs/>
        </w:rPr>
        <w:t>Possession of the Ability to Delay Satisfaction</w:t>
      </w:r>
    </w:p>
    <w:p w14:paraId="2C4C03EF" w14:textId="77777777" w:rsidR="007175FE" w:rsidRPr="00F51FB2" w:rsidRDefault="007175FE" w:rsidP="00003B0E">
      <w:pPr>
        <w:spacing w:line="480" w:lineRule="auto"/>
        <w:contextualSpacing/>
        <w:rPr>
          <w:rFonts w:ascii="Times New Roman" w:hAnsi="Times New Roman" w:cs="Times New Roman"/>
        </w:rPr>
      </w:pPr>
    </w:p>
    <w:p w14:paraId="7B3FB91E" w14:textId="7998BFD9" w:rsidR="007175FE" w:rsidRPr="00F51FB2" w:rsidRDefault="007175FE" w:rsidP="00003B0E">
      <w:pPr>
        <w:spacing w:line="480" w:lineRule="auto"/>
        <w:contextualSpacing/>
        <w:rPr>
          <w:rFonts w:ascii="Times New Roman" w:hAnsi="Times New Roman" w:cs="Times New Roman"/>
        </w:rPr>
      </w:pPr>
      <w:r w:rsidRPr="00F51FB2">
        <w:rPr>
          <w:rFonts w:ascii="Times New Roman" w:hAnsi="Times New Roman" w:cs="Times New Roman"/>
        </w:rPr>
        <w:tab/>
        <w:t xml:space="preserve">Not all people possess this educational asset. There is a common misconception that the ability to delay gratification is based solely on will power. In fact, a child’s ability to delay gratification depends heavily on their subjective assessment of the reliability of their environment (Kidd, </w:t>
      </w:r>
      <w:proofErr w:type="spellStart"/>
      <w:r w:rsidRPr="00F51FB2">
        <w:rPr>
          <w:rFonts w:ascii="Times New Roman" w:hAnsi="Times New Roman" w:cs="Times New Roman"/>
        </w:rPr>
        <w:t>Palmeri</w:t>
      </w:r>
      <w:proofErr w:type="spellEnd"/>
      <w:r w:rsidRPr="00F51FB2">
        <w:rPr>
          <w:rFonts w:ascii="Times New Roman" w:hAnsi="Times New Roman" w:cs="Times New Roman"/>
        </w:rPr>
        <w:t xml:space="preserve">, &amp; </w:t>
      </w:r>
      <w:proofErr w:type="spellStart"/>
      <w:r w:rsidRPr="00F51FB2">
        <w:rPr>
          <w:rFonts w:ascii="Times New Roman" w:hAnsi="Times New Roman" w:cs="Times New Roman"/>
        </w:rPr>
        <w:t>Aslin</w:t>
      </w:r>
      <w:proofErr w:type="spellEnd"/>
      <w:r w:rsidRPr="00F51FB2">
        <w:rPr>
          <w:rFonts w:ascii="Times New Roman" w:hAnsi="Times New Roman" w:cs="Times New Roman"/>
        </w:rPr>
        <w:t>, 2012), not their will power. Individuals who believe that their environment is reliable and that the reward waiting beyond the delay of gratification will certainly be delivered</w:t>
      </w:r>
      <w:r w:rsidR="006A7FA2">
        <w:rPr>
          <w:rFonts w:ascii="Times New Roman" w:hAnsi="Times New Roman" w:cs="Times New Roman"/>
        </w:rPr>
        <w:t>,</w:t>
      </w:r>
      <w:r w:rsidRPr="00F51FB2">
        <w:rPr>
          <w:rFonts w:ascii="Times New Roman" w:hAnsi="Times New Roman" w:cs="Times New Roman"/>
        </w:rPr>
        <w:t xml:space="preserve"> are better at delaying gratification than individuals who are uncertain about their environment. Children who know for sure that by saving money they will be able to afford treats that will bring them greater satisfaction in the future are more inclined to save money than children who face the threat of confiscation by their parents if </w:t>
      </w:r>
      <w:r w:rsidRPr="00F51FB2">
        <w:rPr>
          <w:rFonts w:ascii="Times New Roman" w:hAnsi="Times New Roman" w:cs="Times New Roman"/>
        </w:rPr>
        <w:lastRenderedPageBreak/>
        <w:t>they tried to save</w:t>
      </w:r>
      <w:r w:rsidR="006A7FA2">
        <w:rPr>
          <w:rFonts w:ascii="Times New Roman" w:hAnsi="Times New Roman" w:cs="Times New Roman"/>
        </w:rPr>
        <w:t>.</w:t>
      </w:r>
      <w:r w:rsidRPr="00F51FB2">
        <w:rPr>
          <w:rFonts w:ascii="Times New Roman" w:hAnsi="Times New Roman" w:cs="Times New Roman"/>
        </w:rPr>
        <w:t xml:space="preserve"> Firm trust in one’s environment is essential in the development of the ability to delay gratification. </w:t>
      </w:r>
    </w:p>
    <w:p w14:paraId="4E2CE7A8" w14:textId="222AA237" w:rsidR="00BF0DA4" w:rsidRDefault="007175FE" w:rsidP="00BF0DA4">
      <w:pPr>
        <w:spacing w:line="480" w:lineRule="auto"/>
        <w:contextualSpacing/>
        <w:rPr>
          <w:rFonts w:ascii="Times New Roman" w:hAnsi="Times New Roman" w:cs="Times New Roman"/>
        </w:rPr>
      </w:pPr>
      <w:r w:rsidRPr="00F51FB2">
        <w:rPr>
          <w:rFonts w:ascii="Times New Roman" w:hAnsi="Times New Roman" w:cs="Times New Roman"/>
        </w:rPr>
        <w:tab/>
        <w:t xml:space="preserve">The main factor that influences an individual’s subjective assessment of the reliability of their environment is the conditions of their upbringing, namely, the reliability of the adults in their lives (Kidd et al., 2012). Furthermore, it can be speculated that the reliability of the adults, or parents, in a child’s life depends on their economic background. In a working-class home where parents just manage to pay the bills, any savings a child might accumulate may be taken and used by </w:t>
      </w:r>
      <w:r w:rsidR="006A7FA2">
        <w:rPr>
          <w:rFonts w:ascii="Times New Roman" w:hAnsi="Times New Roman" w:cs="Times New Roman"/>
        </w:rPr>
        <w:t>t</w:t>
      </w:r>
      <w:r w:rsidRPr="00F51FB2">
        <w:rPr>
          <w:rFonts w:ascii="Times New Roman" w:hAnsi="Times New Roman" w:cs="Times New Roman"/>
        </w:rPr>
        <w:t>he</w:t>
      </w:r>
      <w:r w:rsidR="006A7FA2">
        <w:rPr>
          <w:rFonts w:ascii="Times New Roman" w:hAnsi="Times New Roman" w:cs="Times New Roman"/>
        </w:rPr>
        <w:t>i</w:t>
      </w:r>
      <w:r w:rsidRPr="00F51FB2">
        <w:rPr>
          <w:rFonts w:ascii="Times New Roman" w:hAnsi="Times New Roman" w:cs="Times New Roman"/>
        </w:rPr>
        <w:t xml:space="preserve">r parents. The parents themselves may be living hand to mouth every day spending their money </w:t>
      </w:r>
      <w:r w:rsidR="00D75FC1">
        <w:rPr>
          <w:rFonts w:ascii="Times New Roman" w:hAnsi="Times New Roman" w:cs="Times New Roman"/>
        </w:rPr>
        <w:t xml:space="preserve">on products that bring them immediate satisfaction (e.g., alcohol, various consumer products, etc.) </w:t>
      </w:r>
      <w:r w:rsidRPr="00F51FB2">
        <w:rPr>
          <w:rFonts w:ascii="Times New Roman" w:hAnsi="Times New Roman" w:cs="Times New Roman"/>
        </w:rPr>
        <w:t xml:space="preserve">uncertain of where the next dollar will come from or what event might take away the little savings they have. Since children learn from their parents’ lifestyle and behavioral patterns, children raised in low income households may, to an extent rationally, learn to distrust their environment and spend all available resources </w:t>
      </w:r>
      <w:r>
        <w:rPr>
          <w:rFonts w:ascii="Times New Roman" w:hAnsi="Times New Roman" w:cs="Times New Roman"/>
        </w:rPr>
        <w:t>on</w:t>
      </w:r>
      <w:r w:rsidRPr="00F51FB2">
        <w:rPr>
          <w:rFonts w:ascii="Times New Roman" w:hAnsi="Times New Roman" w:cs="Times New Roman"/>
        </w:rPr>
        <w:t xml:space="preserve"> immediate gratification. On the other hand, for children raised in middle- and upper-class households, the certainty of the reward for delaying gratification is ensured. In addition, watching their parents delay gratification in their work and life teaches children to do so themselves, equipping middle- and upper-class children with the ability to </w:t>
      </w:r>
      <w:r w:rsidR="00FC4C55">
        <w:rPr>
          <w:rFonts w:ascii="Times New Roman" w:hAnsi="Times New Roman" w:cs="Times New Roman"/>
        </w:rPr>
        <w:t>postpone satisfaction</w:t>
      </w:r>
      <w:r w:rsidRPr="00F51FB2">
        <w:rPr>
          <w:rFonts w:ascii="Times New Roman" w:hAnsi="Times New Roman" w:cs="Times New Roman"/>
        </w:rPr>
        <w:t xml:space="preserve"> for greater future rewards. </w:t>
      </w:r>
      <w:r w:rsidR="00AE7702">
        <w:rPr>
          <w:rFonts w:ascii="Times New Roman" w:hAnsi="Times New Roman" w:cs="Times New Roman"/>
        </w:rPr>
        <w:br/>
      </w:r>
      <w:r w:rsidR="00AE7702">
        <w:rPr>
          <w:rFonts w:ascii="Times New Roman" w:hAnsi="Times New Roman" w:cs="Times New Roman"/>
        </w:rPr>
        <w:tab/>
      </w:r>
      <w:r w:rsidR="003D0423">
        <w:rPr>
          <w:rFonts w:ascii="Times New Roman" w:hAnsi="Times New Roman" w:cs="Times New Roman"/>
        </w:rPr>
        <w:t xml:space="preserve">Watts et al.’s </w:t>
      </w:r>
      <w:r w:rsidR="00CF5A27">
        <w:rPr>
          <w:rFonts w:ascii="Times New Roman" w:hAnsi="Times New Roman" w:cs="Times New Roman"/>
        </w:rPr>
        <w:t xml:space="preserve">(2018) updated marshmallow experiment showed that children from wealthy backgrounds were more likely to be able to exercise self-restraint and wait longer. </w:t>
      </w:r>
      <w:r w:rsidR="00EF5DB9">
        <w:rPr>
          <w:rFonts w:ascii="Times New Roman" w:hAnsi="Times New Roman" w:cs="Times New Roman"/>
        </w:rPr>
        <w:t xml:space="preserve">The </w:t>
      </w:r>
      <w:r w:rsidR="00BF0DA4">
        <w:rPr>
          <w:rFonts w:ascii="Times New Roman" w:hAnsi="Times New Roman" w:cs="Times New Roman"/>
        </w:rPr>
        <w:t xml:space="preserve">study also found that </w:t>
      </w:r>
      <w:r w:rsidR="00BF0DA4">
        <w:rPr>
          <w:rFonts w:ascii="Times New Roman" w:hAnsi="Times New Roman" w:cs="Times New Roman"/>
        </w:rPr>
        <w:t xml:space="preserve">the degree to which children’s ability to delay gratification (measured by the marshmallow test) was able to predict success in school in later years decreased </w:t>
      </w:r>
      <w:r w:rsidR="00BF0DA4">
        <w:rPr>
          <w:rFonts w:ascii="Times New Roman" w:hAnsi="Times New Roman" w:cs="Times New Roman"/>
        </w:rPr>
        <w:t>greatly</w:t>
      </w:r>
      <w:r w:rsidR="00EF5DB9" w:rsidRPr="00EF5DB9">
        <w:rPr>
          <w:rFonts w:ascii="Times New Roman" w:hAnsi="Times New Roman" w:cs="Times New Roman"/>
        </w:rPr>
        <w:t xml:space="preserve"> </w:t>
      </w:r>
      <w:r w:rsidR="00EF5DB9">
        <w:rPr>
          <w:rFonts w:ascii="Times New Roman" w:hAnsi="Times New Roman" w:cs="Times New Roman"/>
        </w:rPr>
        <w:t>b</w:t>
      </w:r>
      <w:r w:rsidR="00EF5DB9">
        <w:rPr>
          <w:rFonts w:ascii="Times New Roman" w:hAnsi="Times New Roman" w:cs="Times New Roman"/>
        </w:rPr>
        <w:t>y controlling for socioeconomic family background</w:t>
      </w:r>
      <w:r w:rsidR="00EF5DB9">
        <w:rPr>
          <w:rFonts w:ascii="Times New Roman" w:hAnsi="Times New Roman" w:cs="Times New Roman"/>
        </w:rPr>
        <w:t xml:space="preserve">. </w:t>
      </w:r>
      <w:r w:rsidR="00BF0DA4">
        <w:rPr>
          <w:rFonts w:ascii="Times New Roman" w:hAnsi="Times New Roman" w:cs="Times New Roman"/>
        </w:rPr>
        <w:t>This suggests that the</w:t>
      </w:r>
      <w:r w:rsidR="00EF5DB9">
        <w:rPr>
          <w:rFonts w:ascii="Times New Roman" w:hAnsi="Times New Roman" w:cs="Times New Roman"/>
        </w:rPr>
        <w:t xml:space="preserve"> </w:t>
      </w:r>
      <w:proofErr w:type="spellStart"/>
      <w:r w:rsidR="00EF5DB9">
        <w:rPr>
          <w:rFonts w:ascii="Times New Roman" w:hAnsi="Times New Roman" w:cs="Times New Roman"/>
        </w:rPr>
        <w:t>the</w:t>
      </w:r>
      <w:proofErr w:type="spellEnd"/>
      <w:r w:rsidR="00EF5DB9">
        <w:rPr>
          <w:rFonts w:ascii="Times New Roman" w:hAnsi="Times New Roman" w:cs="Times New Roman"/>
        </w:rPr>
        <w:t xml:space="preserve"> ability to postpone satisfaction </w:t>
      </w:r>
      <w:r w:rsidR="007352D9">
        <w:rPr>
          <w:rFonts w:ascii="Times New Roman" w:hAnsi="Times New Roman" w:cs="Times New Roman"/>
        </w:rPr>
        <w:t xml:space="preserve">alone cannot account for the differing degrees of success in school. </w:t>
      </w:r>
      <w:r w:rsidR="003756AF">
        <w:rPr>
          <w:rFonts w:ascii="Times New Roman" w:hAnsi="Times New Roman" w:cs="Times New Roman"/>
        </w:rPr>
        <w:t xml:space="preserve">Rather, the ability </w:t>
      </w:r>
      <w:r w:rsidR="00C03AF5">
        <w:rPr>
          <w:rFonts w:ascii="Times New Roman" w:hAnsi="Times New Roman" w:cs="Times New Roman"/>
        </w:rPr>
        <w:t xml:space="preserve">serves as a strong predictor only in its correlation with wealth </w:t>
      </w:r>
      <w:r w:rsidR="00C03AF5">
        <w:rPr>
          <w:rFonts w:ascii="Times New Roman" w:hAnsi="Times New Roman" w:cs="Times New Roman"/>
        </w:rPr>
        <w:lastRenderedPageBreak/>
        <w:t>and financial background</w:t>
      </w:r>
      <w:r w:rsidR="00E44806">
        <w:rPr>
          <w:rFonts w:ascii="Times New Roman" w:hAnsi="Times New Roman" w:cs="Times New Roman"/>
        </w:rPr>
        <w:t xml:space="preserve">. Therefore, delayed gratification must not be considered the only cause, or even the strongest cause, of educational inequality between differing socioeconomic classes, but </w:t>
      </w:r>
      <w:r w:rsidR="00B56045">
        <w:rPr>
          <w:rFonts w:ascii="Times New Roman" w:hAnsi="Times New Roman" w:cs="Times New Roman"/>
        </w:rPr>
        <w:t>should</w:t>
      </w:r>
      <w:r w:rsidR="00E44806">
        <w:rPr>
          <w:rFonts w:ascii="Times New Roman" w:hAnsi="Times New Roman" w:cs="Times New Roman"/>
        </w:rPr>
        <w:t xml:space="preserve"> be regarded as an addition to the many other causes </w:t>
      </w:r>
      <w:r w:rsidR="00B56045">
        <w:rPr>
          <w:rFonts w:ascii="Times New Roman" w:hAnsi="Times New Roman" w:cs="Times New Roman"/>
        </w:rPr>
        <w:t xml:space="preserve">as outlined in existing literature. </w:t>
      </w:r>
    </w:p>
    <w:p w14:paraId="6158F5D0" w14:textId="77777777" w:rsidR="007175FE" w:rsidRDefault="007175FE" w:rsidP="00003B0E">
      <w:pPr>
        <w:spacing w:line="480" w:lineRule="auto"/>
        <w:contextualSpacing/>
        <w:rPr>
          <w:rFonts w:ascii="Times New Roman" w:hAnsi="Times New Roman" w:cs="Times New Roman"/>
        </w:rPr>
      </w:pPr>
    </w:p>
    <w:p w14:paraId="2CDB1CCE" w14:textId="77777777" w:rsidR="007175FE" w:rsidRPr="00003B0E" w:rsidRDefault="007175FE" w:rsidP="00003B0E">
      <w:pPr>
        <w:spacing w:line="480" w:lineRule="auto"/>
        <w:contextualSpacing/>
        <w:rPr>
          <w:rFonts w:ascii="Times New Roman" w:hAnsi="Times New Roman" w:cs="Times New Roman"/>
          <w:b/>
          <w:bCs/>
        </w:rPr>
      </w:pPr>
      <w:r w:rsidRPr="00003B0E">
        <w:rPr>
          <w:rFonts w:ascii="Times New Roman" w:hAnsi="Times New Roman" w:cs="Times New Roman"/>
          <w:b/>
          <w:bCs/>
        </w:rPr>
        <w:t>Conclusion</w:t>
      </w:r>
    </w:p>
    <w:p w14:paraId="6CECE86B" w14:textId="77777777" w:rsidR="007175FE" w:rsidRDefault="007175FE" w:rsidP="00003B0E">
      <w:pPr>
        <w:spacing w:line="480" w:lineRule="auto"/>
        <w:contextualSpacing/>
        <w:rPr>
          <w:rFonts w:ascii="Times New Roman" w:hAnsi="Times New Roman" w:cs="Times New Roman"/>
        </w:rPr>
      </w:pPr>
    </w:p>
    <w:p w14:paraId="5B309E30" w14:textId="451D6A9E" w:rsidR="00102027" w:rsidRDefault="007175FE" w:rsidP="00102027">
      <w:pPr>
        <w:spacing w:line="480" w:lineRule="auto"/>
        <w:contextualSpacing/>
        <w:rPr>
          <w:rFonts w:ascii="Times New Roman" w:hAnsi="Times New Roman" w:cs="Times New Roman"/>
        </w:rPr>
      </w:pPr>
      <w:r>
        <w:rPr>
          <w:rFonts w:ascii="Times New Roman" w:hAnsi="Times New Roman" w:cs="Times New Roman"/>
        </w:rPr>
        <w:tab/>
        <w:t xml:space="preserve">In summary, </w:t>
      </w:r>
      <w:r w:rsidR="00A4789C">
        <w:rPr>
          <w:rFonts w:ascii="Times New Roman" w:hAnsi="Times New Roman" w:cs="Times New Roman"/>
        </w:rPr>
        <w:t xml:space="preserve">in addition to </w:t>
      </w:r>
      <w:r w:rsidR="009436F8">
        <w:rPr>
          <w:rFonts w:ascii="Times New Roman" w:hAnsi="Times New Roman" w:cs="Times New Roman"/>
        </w:rPr>
        <w:t>previously posited theories on educational inequality and class differences, delayed gratification may also explain</w:t>
      </w:r>
      <w:r w:rsidR="00782489">
        <w:rPr>
          <w:rFonts w:ascii="Times New Roman" w:hAnsi="Times New Roman" w:cs="Times New Roman"/>
        </w:rPr>
        <w:t xml:space="preserve"> </w:t>
      </w:r>
      <w:r w:rsidR="00980FFD">
        <w:rPr>
          <w:rFonts w:ascii="Times New Roman" w:hAnsi="Times New Roman" w:cs="Times New Roman"/>
        </w:rPr>
        <w:t xml:space="preserve">the positive correlation between wealth and academic performance. </w:t>
      </w:r>
      <w:r w:rsidR="00E7730B">
        <w:rPr>
          <w:rFonts w:ascii="Times New Roman" w:hAnsi="Times New Roman" w:cs="Times New Roman"/>
        </w:rPr>
        <w:t>T</w:t>
      </w:r>
      <w:r>
        <w:rPr>
          <w:rFonts w:ascii="Times New Roman" w:hAnsi="Times New Roman" w:cs="Times New Roman"/>
        </w:rPr>
        <w:t xml:space="preserve">he economic background of a child’s upbringing determines their subjective assessment of reliability. </w:t>
      </w:r>
      <w:r w:rsidR="00A6578D">
        <w:rPr>
          <w:rFonts w:ascii="Times New Roman" w:hAnsi="Times New Roman" w:cs="Times New Roman"/>
        </w:rPr>
        <w:t>A high subjective assessment of</w:t>
      </w:r>
      <w:r>
        <w:rPr>
          <w:rFonts w:ascii="Times New Roman" w:hAnsi="Times New Roman" w:cs="Times New Roman"/>
        </w:rPr>
        <w:t xml:space="preserve"> </w:t>
      </w:r>
      <w:r w:rsidR="004926AA">
        <w:rPr>
          <w:rFonts w:ascii="Times New Roman" w:hAnsi="Times New Roman" w:cs="Times New Roman"/>
        </w:rPr>
        <w:t xml:space="preserve">the </w:t>
      </w:r>
      <w:r>
        <w:rPr>
          <w:rFonts w:ascii="Times New Roman" w:hAnsi="Times New Roman" w:cs="Times New Roman"/>
        </w:rPr>
        <w:t xml:space="preserve">reliability </w:t>
      </w:r>
      <w:r w:rsidR="00A6578D">
        <w:rPr>
          <w:rFonts w:ascii="Times New Roman" w:hAnsi="Times New Roman" w:cs="Times New Roman"/>
        </w:rPr>
        <w:t>of</w:t>
      </w:r>
      <w:r>
        <w:rPr>
          <w:rFonts w:ascii="Times New Roman" w:hAnsi="Times New Roman" w:cs="Times New Roman"/>
        </w:rPr>
        <w:t xml:space="preserve"> one’s environment leads to the ability to delay gratification for greater future rewards, while</w:t>
      </w:r>
      <w:r w:rsidR="00C3592B">
        <w:rPr>
          <w:rFonts w:ascii="Times New Roman" w:hAnsi="Times New Roman" w:cs="Times New Roman"/>
        </w:rPr>
        <w:t xml:space="preserve"> a</w:t>
      </w:r>
      <w:r>
        <w:rPr>
          <w:rFonts w:ascii="Times New Roman" w:hAnsi="Times New Roman" w:cs="Times New Roman"/>
        </w:rPr>
        <w:t xml:space="preserve"> low </w:t>
      </w:r>
      <w:r w:rsidR="004926AA">
        <w:rPr>
          <w:rFonts w:ascii="Times New Roman" w:hAnsi="Times New Roman" w:cs="Times New Roman"/>
        </w:rPr>
        <w:t xml:space="preserve">assessment of </w:t>
      </w:r>
      <w:r>
        <w:rPr>
          <w:rFonts w:ascii="Times New Roman" w:hAnsi="Times New Roman" w:cs="Times New Roman"/>
        </w:rPr>
        <w:t xml:space="preserve">reliability leads to an inability to delay gratification </w:t>
      </w:r>
      <w:r w:rsidRPr="00F51FB2">
        <w:rPr>
          <w:rFonts w:ascii="Times New Roman" w:hAnsi="Times New Roman" w:cs="Times New Roman"/>
        </w:rPr>
        <w:t>(Kidd et al., 2012)</w:t>
      </w:r>
      <w:r>
        <w:rPr>
          <w:rFonts w:ascii="Times New Roman" w:hAnsi="Times New Roman" w:cs="Times New Roman"/>
        </w:rPr>
        <w:t xml:space="preserve">. The ability to delay gratification positively influences academic performance </w:t>
      </w:r>
      <w:r w:rsidRPr="00F51FB2">
        <w:rPr>
          <w:rFonts w:ascii="Times New Roman" w:hAnsi="Times New Roman" w:cs="Times New Roman"/>
        </w:rPr>
        <w:t>(</w:t>
      </w:r>
      <w:proofErr w:type="spellStart"/>
      <w:r w:rsidRPr="00F51FB2">
        <w:rPr>
          <w:rFonts w:ascii="Times New Roman" w:hAnsi="Times New Roman" w:cs="Times New Roman"/>
        </w:rPr>
        <w:t>Mischel</w:t>
      </w:r>
      <w:proofErr w:type="spellEnd"/>
      <w:r>
        <w:rPr>
          <w:rFonts w:ascii="Times New Roman" w:hAnsi="Times New Roman" w:cs="Times New Roman"/>
        </w:rPr>
        <w:t xml:space="preserve"> et al.</w:t>
      </w:r>
      <w:r w:rsidRPr="00F51FB2">
        <w:rPr>
          <w:rFonts w:ascii="Times New Roman" w:hAnsi="Times New Roman" w:cs="Times New Roman"/>
        </w:rPr>
        <w:t>, 1989</w:t>
      </w:r>
      <w:r>
        <w:rPr>
          <w:rFonts w:ascii="Times New Roman" w:hAnsi="Times New Roman" w:cs="Times New Roman"/>
        </w:rPr>
        <w:t xml:space="preserve">; </w:t>
      </w:r>
      <w:proofErr w:type="spellStart"/>
      <w:r w:rsidRPr="00F51FB2">
        <w:rPr>
          <w:rFonts w:ascii="Times New Roman" w:hAnsi="Times New Roman" w:cs="Times New Roman"/>
        </w:rPr>
        <w:t>Ayduk</w:t>
      </w:r>
      <w:proofErr w:type="spellEnd"/>
      <w:r w:rsidRPr="00F51FB2">
        <w:rPr>
          <w:rFonts w:ascii="Times New Roman" w:hAnsi="Times New Roman" w:cs="Times New Roman"/>
        </w:rPr>
        <w:t xml:space="preserve"> et al., 2000</w:t>
      </w:r>
      <w:r>
        <w:rPr>
          <w:rFonts w:ascii="Times New Roman" w:hAnsi="Times New Roman" w:cs="Times New Roman"/>
        </w:rPr>
        <w:t>), thereby giving wealthy children an advantage in</w:t>
      </w:r>
      <w:r w:rsidR="006C2235">
        <w:rPr>
          <w:rFonts w:ascii="Times New Roman" w:hAnsi="Times New Roman" w:cs="Times New Roman"/>
        </w:rPr>
        <w:t xml:space="preserve"> </w:t>
      </w:r>
      <w:r>
        <w:rPr>
          <w:rFonts w:ascii="Times New Roman" w:hAnsi="Times New Roman" w:cs="Times New Roman"/>
        </w:rPr>
        <w:t>school</w:t>
      </w:r>
      <w:r w:rsidR="00E7730B">
        <w:rPr>
          <w:rFonts w:ascii="Times New Roman" w:hAnsi="Times New Roman" w:cs="Times New Roman"/>
        </w:rPr>
        <w:t xml:space="preserve">. </w:t>
      </w:r>
      <w:r w:rsidR="00E7730B">
        <w:rPr>
          <w:rFonts w:ascii="Times New Roman" w:hAnsi="Times New Roman" w:cs="Times New Roman"/>
        </w:rPr>
        <w:t xml:space="preserve">Furthermore, while delayed gratification may appear to be a strong predictor of success in </w:t>
      </w:r>
      <w:r w:rsidR="00102027">
        <w:rPr>
          <w:rFonts w:ascii="Times New Roman" w:hAnsi="Times New Roman" w:cs="Times New Roman"/>
        </w:rPr>
        <w:t>school</w:t>
      </w:r>
      <w:r w:rsidR="00E7730B">
        <w:rPr>
          <w:rFonts w:ascii="Times New Roman" w:hAnsi="Times New Roman" w:cs="Times New Roman"/>
        </w:rPr>
        <w:t>, the trait only holds such strong explanatory power because of its relationship with wealth,  and though it may still be a valid explanation of the performance differences between children of varying economic classes, it does not account for all of the differences and must be considered along with the many other explanations of class differences and academic performance found in previous research</w:t>
      </w:r>
      <w:r w:rsidR="00102027">
        <w:rPr>
          <w:rFonts w:ascii="Times New Roman" w:hAnsi="Times New Roman" w:cs="Times New Roman"/>
        </w:rPr>
        <w:t xml:space="preserve"> </w:t>
      </w:r>
      <w:r w:rsidR="00102027">
        <w:rPr>
          <w:rFonts w:ascii="Times New Roman" w:hAnsi="Times New Roman" w:cs="Times New Roman"/>
        </w:rPr>
        <w:t xml:space="preserve">(Watts, Duncan, &amp; Quan, 2018). </w:t>
      </w:r>
      <w:r w:rsidR="00E7730B">
        <w:rPr>
          <w:rFonts w:ascii="Times New Roman" w:hAnsi="Times New Roman" w:cs="Times New Roman"/>
        </w:rPr>
        <w:t xml:space="preserve"> </w:t>
      </w:r>
    </w:p>
    <w:p w14:paraId="14900EEF" w14:textId="77777777" w:rsidR="00102027" w:rsidRDefault="00102027">
      <w:pPr>
        <w:rPr>
          <w:rFonts w:ascii="Times New Roman" w:hAnsi="Times New Roman" w:cs="Times New Roman"/>
        </w:rPr>
      </w:pPr>
      <w:r>
        <w:rPr>
          <w:rFonts w:ascii="Times New Roman" w:hAnsi="Times New Roman" w:cs="Times New Roman"/>
        </w:rPr>
        <w:br w:type="page"/>
      </w:r>
    </w:p>
    <w:p w14:paraId="75B89447" w14:textId="77777777" w:rsidR="00D75FC1" w:rsidRDefault="00D75FC1" w:rsidP="00102027">
      <w:pPr>
        <w:spacing w:line="480" w:lineRule="auto"/>
        <w:contextualSpacing/>
        <w:rPr>
          <w:rFonts w:ascii="Times New Roman" w:hAnsi="Times New Roman" w:cs="Times New Roman"/>
        </w:rPr>
      </w:pPr>
    </w:p>
    <w:p w14:paraId="5D5F1C3A" w14:textId="63916084" w:rsidR="009F04B3" w:rsidRDefault="007175FE" w:rsidP="00D75FC1">
      <w:pPr>
        <w:spacing w:line="480" w:lineRule="auto"/>
        <w:contextualSpacing/>
        <w:jc w:val="center"/>
        <w:rPr>
          <w:rFonts w:ascii="Times New Roman" w:hAnsi="Times New Roman" w:cs="Times New Roman"/>
        </w:rPr>
      </w:pPr>
      <w:r>
        <w:rPr>
          <w:rFonts w:ascii="Times New Roman" w:hAnsi="Times New Roman" w:cs="Times New Roman"/>
        </w:rPr>
        <w:t>References</w:t>
      </w:r>
    </w:p>
    <w:p w14:paraId="331795E0" w14:textId="26C161A1" w:rsidR="00832D60" w:rsidRDefault="00832D60" w:rsidP="00003B0E">
      <w:pPr>
        <w:spacing w:line="480" w:lineRule="auto"/>
        <w:ind w:left="720" w:hanging="720"/>
        <w:contextualSpacing/>
        <w:rPr>
          <w:rFonts w:ascii="Times New Roman" w:hAnsi="Times New Roman" w:cs="Times New Roman"/>
        </w:rPr>
      </w:pPr>
      <w:proofErr w:type="spellStart"/>
      <w:r w:rsidRPr="005D3B77">
        <w:rPr>
          <w:rFonts w:ascii="Times New Roman" w:hAnsi="Times New Roman" w:cs="Times New Roman"/>
        </w:rPr>
        <w:t>Ayduk</w:t>
      </w:r>
      <w:proofErr w:type="spellEnd"/>
      <w:r w:rsidRPr="005D3B77">
        <w:rPr>
          <w:rFonts w:ascii="Times New Roman" w:hAnsi="Times New Roman" w:cs="Times New Roman"/>
        </w:rPr>
        <w:t xml:space="preserve">, </w:t>
      </w:r>
      <w:r>
        <w:rPr>
          <w:rFonts w:ascii="Times New Roman" w:hAnsi="Times New Roman" w:cs="Times New Roman"/>
        </w:rPr>
        <w:t>O.,</w:t>
      </w:r>
      <w:r w:rsidRPr="005D3B77">
        <w:rPr>
          <w:rFonts w:ascii="Times New Roman" w:hAnsi="Times New Roman" w:cs="Times New Roman"/>
        </w:rPr>
        <w:t xml:space="preserve"> Mendo</w:t>
      </w:r>
      <w:r w:rsidR="00003B0E">
        <w:rPr>
          <w:rFonts w:ascii="Times New Roman" w:hAnsi="Times New Roman" w:cs="Times New Roman"/>
        </w:rPr>
        <w:t>z</w:t>
      </w:r>
      <w:r w:rsidRPr="005D3B77">
        <w:rPr>
          <w:rFonts w:ascii="Times New Roman" w:hAnsi="Times New Roman" w:cs="Times New Roman"/>
        </w:rPr>
        <w:t>a-Denton</w:t>
      </w:r>
      <w:r>
        <w:rPr>
          <w:rFonts w:ascii="Times New Roman" w:hAnsi="Times New Roman" w:cs="Times New Roman"/>
        </w:rPr>
        <w:t xml:space="preserve">, R., </w:t>
      </w:r>
      <w:proofErr w:type="spellStart"/>
      <w:r w:rsidRPr="005D3B77">
        <w:rPr>
          <w:rFonts w:ascii="Times New Roman" w:hAnsi="Times New Roman" w:cs="Times New Roman"/>
        </w:rPr>
        <w:t>Mischel</w:t>
      </w:r>
      <w:proofErr w:type="spellEnd"/>
      <w:r w:rsidRPr="005D3B77">
        <w:rPr>
          <w:rFonts w:ascii="Times New Roman" w:hAnsi="Times New Roman" w:cs="Times New Roman"/>
        </w:rPr>
        <w:t xml:space="preserve">, </w:t>
      </w:r>
      <w:r>
        <w:rPr>
          <w:rFonts w:ascii="Times New Roman" w:hAnsi="Times New Roman" w:cs="Times New Roman"/>
        </w:rPr>
        <w:t>W.,</w:t>
      </w:r>
      <w:r w:rsidRPr="005D3B77">
        <w:rPr>
          <w:rFonts w:ascii="Times New Roman" w:hAnsi="Times New Roman" w:cs="Times New Roman"/>
        </w:rPr>
        <w:t xml:space="preserve"> Downey, </w:t>
      </w:r>
      <w:r>
        <w:rPr>
          <w:rFonts w:ascii="Times New Roman" w:hAnsi="Times New Roman" w:cs="Times New Roman"/>
        </w:rPr>
        <w:t>G.,</w:t>
      </w:r>
      <w:r w:rsidRPr="005D3B77">
        <w:rPr>
          <w:rFonts w:ascii="Times New Roman" w:hAnsi="Times New Roman" w:cs="Times New Roman"/>
        </w:rPr>
        <w:t xml:space="preserve"> Peake, </w:t>
      </w:r>
      <w:r>
        <w:rPr>
          <w:rFonts w:ascii="Times New Roman" w:hAnsi="Times New Roman" w:cs="Times New Roman"/>
        </w:rPr>
        <w:t>P.</w:t>
      </w:r>
      <w:r w:rsidR="00003B0E">
        <w:rPr>
          <w:rFonts w:ascii="Times New Roman" w:hAnsi="Times New Roman" w:cs="Times New Roman"/>
        </w:rPr>
        <w:t>K.</w:t>
      </w:r>
      <w:r>
        <w:rPr>
          <w:rFonts w:ascii="Times New Roman" w:hAnsi="Times New Roman" w:cs="Times New Roman"/>
        </w:rPr>
        <w:t>,</w:t>
      </w:r>
      <w:r w:rsidRPr="005D3B77">
        <w:rPr>
          <w:rFonts w:ascii="Times New Roman" w:hAnsi="Times New Roman" w:cs="Times New Roman"/>
        </w:rPr>
        <w:t xml:space="preserve"> </w:t>
      </w:r>
      <w:r>
        <w:rPr>
          <w:rFonts w:ascii="Times New Roman" w:hAnsi="Times New Roman" w:cs="Times New Roman"/>
        </w:rPr>
        <w:t xml:space="preserve">&amp; </w:t>
      </w:r>
      <w:r w:rsidRPr="005D3B77">
        <w:rPr>
          <w:rFonts w:ascii="Times New Roman" w:hAnsi="Times New Roman" w:cs="Times New Roman"/>
        </w:rPr>
        <w:t>Rodriguez,</w:t>
      </w:r>
      <w:r>
        <w:rPr>
          <w:rFonts w:ascii="Times New Roman" w:hAnsi="Times New Roman" w:cs="Times New Roman"/>
        </w:rPr>
        <w:t xml:space="preserve"> M</w:t>
      </w:r>
      <w:r w:rsidRPr="005D3B77">
        <w:rPr>
          <w:rFonts w:ascii="Times New Roman" w:hAnsi="Times New Roman" w:cs="Times New Roman"/>
        </w:rPr>
        <w:t>. (2000). Regulating the interpersonal self: Strategic self-regulation for coping with rejection sensitivity. </w:t>
      </w:r>
      <w:r w:rsidRPr="005D3B77">
        <w:rPr>
          <w:rFonts w:ascii="Times New Roman" w:hAnsi="Times New Roman" w:cs="Times New Roman"/>
          <w:i/>
          <w:iCs/>
        </w:rPr>
        <w:t>Journal of Personality and Social Psychology</w:t>
      </w:r>
      <w:r>
        <w:rPr>
          <w:rFonts w:ascii="Times New Roman" w:hAnsi="Times New Roman" w:cs="Times New Roman"/>
          <w:i/>
          <w:iCs/>
        </w:rPr>
        <w:t xml:space="preserve">, 79 </w:t>
      </w:r>
      <w:r w:rsidRPr="005D3B77">
        <w:rPr>
          <w:rFonts w:ascii="Times New Roman" w:hAnsi="Times New Roman" w:cs="Times New Roman"/>
        </w:rPr>
        <w:t>(5)</w:t>
      </w:r>
      <w:r>
        <w:rPr>
          <w:rFonts w:ascii="Times New Roman" w:hAnsi="Times New Roman" w:cs="Times New Roman"/>
        </w:rPr>
        <w:t>,</w:t>
      </w:r>
      <w:r w:rsidRPr="005D3B77">
        <w:rPr>
          <w:rFonts w:ascii="Times New Roman" w:hAnsi="Times New Roman" w:cs="Times New Roman"/>
        </w:rPr>
        <w:t xml:space="preserve"> 776–792. </w:t>
      </w:r>
      <w:r w:rsidR="0052174B" w:rsidRPr="0052174B">
        <w:rPr>
          <w:rFonts w:ascii="Times New Roman" w:hAnsi="Times New Roman" w:cs="Times New Roman"/>
        </w:rPr>
        <w:t>https://doi.org/10.1037/0022-3514.79.5.776</w:t>
      </w:r>
      <w:r w:rsidR="00003B0E">
        <w:rPr>
          <w:rFonts w:ascii="Times New Roman" w:hAnsi="Times New Roman" w:cs="Times New Roman"/>
        </w:rPr>
        <w:t xml:space="preserve"> </w:t>
      </w:r>
    </w:p>
    <w:p w14:paraId="517C055A" w14:textId="0F582F8A" w:rsidR="006A06B8" w:rsidRDefault="006A06B8" w:rsidP="00003B0E">
      <w:pPr>
        <w:spacing w:line="480" w:lineRule="auto"/>
        <w:ind w:left="720" w:hanging="720"/>
        <w:contextualSpacing/>
        <w:rPr>
          <w:rFonts w:ascii="Times New Roman" w:hAnsi="Times New Roman" w:cs="Times New Roman"/>
        </w:rPr>
      </w:pPr>
      <w:r w:rsidRPr="006A06B8">
        <w:rPr>
          <w:rFonts w:ascii="Times New Roman" w:hAnsi="Times New Roman" w:cs="Times New Roman"/>
        </w:rPr>
        <w:t>Bernstein, B. B. (2009). Class, codes and control: Vol. 4. London: Routledge.</w:t>
      </w:r>
    </w:p>
    <w:p w14:paraId="1FA245AB" w14:textId="73A9BB1C" w:rsidR="00D91E19" w:rsidRPr="005728FB" w:rsidRDefault="00D91E19" w:rsidP="00003B0E">
      <w:pPr>
        <w:spacing w:line="480" w:lineRule="auto"/>
        <w:ind w:left="720" w:hanging="720"/>
        <w:contextualSpacing/>
        <w:rPr>
          <w:rFonts w:ascii="Times New Roman" w:hAnsi="Times New Roman" w:cs="Times New Roman"/>
        </w:rPr>
      </w:pPr>
      <w:r>
        <w:rPr>
          <w:rFonts w:ascii="Times New Roman" w:hAnsi="Times New Roman" w:cs="Times New Roman"/>
        </w:rPr>
        <w:t xml:space="preserve">Bourdieu, P. (1984). </w:t>
      </w:r>
      <w:r>
        <w:rPr>
          <w:rFonts w:ascii="Times New Roman" w:hAnsi="Times New Roman" w:cs="Times New Roman"/>
          <w:i/>
          <w:iCs/>
        </w:rPr>
        <w:t>Distinction</w:t>
      </w:r>
      <w:r w:rsidR="005728FB">
        <w:rPr>
          <w:rFonts w:ascii="Times New Roman" w:hAnsi="Times New Roman" w:cs="Times New Roman"/>
          <w:i/>
          <w:iCs/>
        </w:rPr>
        <w:t>: A social critique of the judgement of taste.</w:t>
      </w:r>
      <w:r w:rsidR="005728FB">
        <w:rPr>
          <w:rFonts w:ascii="Times New Roman" w:hAnsi="Times New Roman" w:cs="Times New Roman"/>
        </w:rPr>
        <w:t xml:space="preserve"> Cambridge, </w:t>
      </w:r>
      <w:r w:rsidR="00164BBC">
        <w:rPr>
          <w:rFonts w:ascii="Times New Roman" w:hAnsi="Times New Roman" w:cs="Times New Roman"/>
        </w:rPr>
        <w:t xml:space="preserve">MA: Harvard </w:t>
      </w:r>
      <w:proofErr w:type="spellStart"/>
      <w:r w:rsidR="00164BBC">
        <w:rPr>
          <w:rFonts w:ascii="Times New Roman" w:hAnsi="Times New Roman" w:cs="Times New Roman"/>
        </w:rPr>
        <w:t>Unviersity</w:t>
      </w:r>
      <w:proofErr w:type="spellEnd"/>
      <w:r w:rsidR="00164BBC">
        <w:rPr>
          <w:rFonts w:ascii="Times New Roman" w:hAnsi="Times New Roman" w:cs="Times New Roman"/>
        </w:rPr>
        <w:t xml:space="preserve"> Press. </w:t>
      </w:r>
    </w:p>
    <w:p w14:paraId="63CB2EB5" w14:textId="6155476F" w:rsidR="003A108D" w:rsidRPr="002521BA" w:rsidRDefault="003A108D" w:rsidP="00003B0E">
      <w:pPr>
        <w:spacing w:line="480" w:lineRule="auto"/>
        <w:ind w:left="720" w:hanging="720"/>
        <w:contextualSpacing/>
        <w:rPr>
          <w:rFonts w:ascii="Times New Roman" w:hAnsi="Times New Roman" w:cs="Times New Roman"/>
        </w:rPr>
      </w:pPr>
      <w:r>
        <w:rPr>
          <w:rFonts w:ascii="Times New Roman" w:hAnsi="Times New Roman" w:cs="Times New Roman"/>
        </w:rPr>
        <w:t xml:space="preserve">Bowles, S., &amp; Gintis, H. (1976). </w:t>
      </w:r>
      <w:r>
        <w:rPr>
          <w:rFonts w:ascii="Times New Roman" w:hAnsi="Times New Roman" w:cs="Times New Roman"/>
          <w:i/>
          <w:iCs/>
        </w:rPr>
        <w:t xml:space="preserve">Schooling in </w:t>
      </w:r>
      <w:r w:rsidR="00D70582">
        <w:rPr>
          <w:rFonts w:ascii="Times New Roman" w:hAnsi="Times New Roman" w:cs="Times New Roman"/>
          <w:i/>
          <w:iCs/>
        </w:rPr>
        <w:t>capitalist America</w:t>
      </w:r>
      <w:r w:rsidR="002521BA">
        <w:rPr>
          <w:rFonts w:ascii="Times New Roman" w:hAnsi="Times New Roman" w:cs="Times New Roman"/>
          <w:i/>
          <w:iCs/>
        </w:rPr>
        <w:t xml:space="preserve">: Educational reform and the contradictions of economic life. </w:t>
      </w:r>
      <w:r w:rsidR="002521BA">
        <w:rPr>
          <w:rFonts w:ascii="Times New Roman" w:hAnsi="Times New Roman" w:cs="Times New Roman"/>
        </w:rPr>
        <w:t xml:space="preserve">New York, NY: Basic Books. </w:t>
      </w:r>
    </w:p>
    <w:p w14:paraId="4D1A595C" w14:textId="7786A51E" w:rsidR="0052174B" w:rsidRDefault="0052174B" w:rsidP="00003B0E">
      <w:pPr>
        <w:spacing w:line="480" w:lineRule="auto"/>
        <w:ind w:left="720" w:hanging="720"/>
        <w:contextualSpacing/>
        <w:rPr>
          <w:rFonts w:ascii="Times New Roman" w:hAnsi="Times New Roman" w:cs="Times New Roman"/>
        </w:rPr>
      </w:pPr>
      <w:r w:rsidRPr="0052174B">
        <w:rPr>
          <w:rFonts w:ascii="Times New Roman" w:hAnsi="Times New Roman" w:cs="Times New Roman"/>
        </w:rPr>
        <w:t xml:space="preserve">Coleman, J. S., United States., &amp; National Center for Education Statistics. (1966). </w:t>
      </w:r>
      <w:r w:rsidRPr="00D70582">
        <w:rPr>
          <w:rFonts w:ascii="Times New Roman" w:hAnsi="Times New Roman" w:cs="Times New Roman"/>
          <w:i/>
          <w:iCs/>
        </w:rPr>
        <w:t>Equality of educational opportunity [summary report].</w:t>
      </w:r>
      <w:r w:rsidRPr="0052174B">
        <w:rPr>
          <w:rFonts w:ascii="Times New Roman" w:hAnsi="Times New Roman" w:cs="Times New Roman"/>
        </w:rPr>
        <w:t xml:space="preserve"> Washington: U.S. Dept. of Health, Education, and Welfare, Office of Education; [for sale by the Superintendent of Documents, U.S. Govt. Print. </w:t>
      </w:r>
      <w:proofErr w:type="gramStart"/>
      <w:r w:rsidRPr="0052174B">
        <w:rPr>
          <w:rFonts w:ascii="Times New Roman" w:hAnsi="Times New Roman" w:cs="Times New Roman"/>
        </w:rPr>
        <w:t>Off..</w:t>
      </w:r>
      <w:proofErr w:type="gramEnd"/>
    </w:p>
    <w:p w14:paraId="1C90CE16" w14:textId="18EAEA99" w:rsidR="008032B2" w:rsidRPr="008032B2" w:rsidRDefault="008032B2" w:rsidP="00003B0E">
      <w:pPr>
        <w:spacing w:line="480" w:lineRule="auto"/>
        <w:ind w:left="720" w:hanging="720"/>
        <w:contextualSpacing/>
        <w:rPr>
          <w:rFonts w:ascii="Times New Roman" w:hAnsi="Times New Roman" w:cs="Times New Roman"/>
        </w:rPr>
      </w:pPr>
      <w:r w:rsidRPr="008032B2">
        <w:rPr>
          <w:rFonts w:ascii="Times New Roman" w:hAnsi="Times New Roman" w:cs="Times New Roman"/>
        </w:rPr>
        <w:t xml:space="preserve">Kidd, C., </w:t>
      </w:r>
      <w:proofErr w:type="spellStart"/>
      <w:r w:rsidRPr="008032B2">
        <w:rPr>
          <w:rFonts w:ascii="Times New Roman" w:hAnsi="Times New Roman" w:cs="Times New Roman"/>
        </w:rPr>
        <w:t>Palmeri</w:t>
      </w:r>
      <w:proofErr w:type="spellEnd"/>
      <w:r w:rsidRPr="008032B2">
        <w:rPr>
          <w:rFonts w:ascii="Times New Roman" w:hAnsi="Times New Roman" w:cs="Times New Roman"/>
        </w:rPr>
        <w:t xml:space="preserve">, </w:t>
      </w:r>
      <w:r w:rsidR="00003B0E">
        <w:rPr>
          <w:rFonts w:ascii="Times New Roman" w:hAnsi="Times New Roman" w:cs="Times New Roman"/>
        </w:rPr>
        <w:t>H.</w:t>
      </w:r>
      <w:r w:rsidRPr="008032B2">
        <w:rPr>
          <w:rFonts w:ascii="Times New Roman" w:hAnsi="Times New Roman" w:cs="Times New Roman"/>
        </w:rPr>
        <w:t xml:space="preserve">., </w:t>
      </w:r>
      <w:r>
        <w:rPr>
          <w:rFonts w:ascii="Times New Roman" w:hAnsi="Times New Roman" w:cs="Times New Roman"/>
        </w:rPr>
        <w:t xml:space="preserve">&amp; </w:t>
      </w:r>
      <w:proofErr w:type="spellStart"/>
      <w:r w:rsidRPr="008032B2">
        <w:rPr>
          <w:rFonts w:ascii="Times New Roman" w:hAnsi="Times New Roman" w:cs="Times New Roman"/>
        </w:rPr>
        <w:t>Aslin</w:t>
      </w:r>
      <w:proofErr w:type="spellEnd"/>
      <w:r w:rsidRPr="008032B2">
        <w:rPr>
          <w:rFonts w:ascii="Times New Roman" w:hAnsi="Times New Roman" w:cs="Times New Roman"/>
        </w:rPr>
        <w:t>, R.</w:t>
      </w:r>
      <w:r w:rsidR="00003B0E">
        <w:rPr>
          <w:rFonts w:ascii="Times New Roman" w:hAnsi="Times New Roman" w:cs="Times New Roman"/>
        </w:rPr>
        <w:t>N.</w:t>
      </w:r>
      <w:r w:rsidRPr="008032B2">
        <w:rPr>
          <w:rFonts w:ascii="Times New Roman" w:hAnsi="Times New Roman" w:cs="Times New Roman"/>
        </w:rPr>
        <w:t xml:space="preserve"> (2012). Rational snacking: Young children’s decision-making on the marshmallow task is moderated by beliefs about environmental reliability. </w:t>
      </w:r>
      <w:r w:rsidRPr="008032B2">
        <w:rPr>
          <w:rFonts w:ascii="Times New Roman" w:hAnsi="Times New Roman" w:cs="Times New Roman"/>
          <w:i/>
          <w:iCs/>
        </w:rPr>
        <w:t xml:space="preserve">Cognition, 126 </w:t>
      </w:r>
      <w:r w:rsidRPr="008032B2">
        <w:rPr>
          <w:rFonts w:ascii="Times New Roman" w:hAnsi="Times New Roman" w:cs="Times New Roman"/>
        </w:rPr>
        <w:t xml:space="preserve">(1), 109-114. </w:t>
      </w:r>
      <w:bookmarkStart w:id="0" w:name="_Hlk30342887"/>
      <w:r w:rsidRPr="008032B2">
        <w:rPr>
          <w:rFonts w:ascii="Times New Roman" w:hAnsi="Times New Roman" w:cs="Times New Roman"/>
        </w:rPr>
        <w:t>https://doi.org/10.1016/j.cognition.2012.08.004</w:t>
      </w:r>
    </w:p>
    <w:bookmarkEnd w:id="0"/>
    <w:p w14:paraId="58E07F22" w14:textId="07369C78" w:rsidR="008032B2" w:rsidRPr="008032B2" w:rsidRDefault="008032B2" w:rsidP="00003B0E">
      <w:pPr>
        <w:spacing w:line="480" w:lineRule="auto"/>
        <w:ind w:left="720" w:hanging="720"/>
        <w:contextualSpacing/>
        <w:rPr>
          <w:rFonts w:ascii="Times New Roman" w:hAnsi="Times New Roman" w:cs="Times New Roman"/>
        </w:rPr>
      </w:pPr>
      <w:proofErr w:type="spellStart"/>
      <w:r w:rsidRPr="008032B2">
        <w:rPr>
          <w:rFonts w:ascii="Times New Roman" w:hAnsi="Times New Roman" w:cs="Times New Roman"/>
        </w:rPr>
        <w:t>Mischel</w:t>
      </w:r>
      <w:proofErr w:type="spellEnd"/>
      <w:r w:rsidRPr="008032B2">
        <w:rPr>
          <w:rFonts w:ascii="Times New Roman" w:hAnsi="Times New Roman" w:cs="Times New Roman"/>
        </w:rPr>
        <w:t xml:space="preserve">, W., </w:t>
      </w:r>
      <w:proofErr w:type="spellStart"/>
      <w:r w:rsidRPr="008032B2">
        <w:rPr>
          <w:rFonts w:ascii="Times New Roman" w:hAnsi="Times New Roman" w:cs="Times New Roman"/>
        </w:rPr>
        <w:t>Ebbesen</w:t>
      </w:r>
      <w:proofErr w:type="spellEnd"/>
      <w:r w:rsidRPr="008032B2">
        <w:rPr>
          <w:rFonts w:ascii="Times New Roman" w:hAnsi="Times New Roman" w:cs="Times New Roman"/>
        </w:rPr>
        <w:t>, E.</w:t>
      </w:r>
      <w:r w:rsidR="00003B0E">
        <w:rPr>
          <w:rFonts w:ascii="Times New Roman" w:hAnsi="Times New Roman" w:cs="Times New Roman"/>
        </w:rPr>
        <w:t>B</w:t>
      </w:r>
      <w:r w:rsidRPr="008032B2">
        <w:rPr>
          <w:rFonts w:ascii="Times New Roman" w:hAnsi="Times New Roman" w:cs="Times New Roman"/>
        </w:rPr>
        <w:t xml:space="preserve">, </w:t>
      </w:r>
      <w:r>
        <w:rPr>
          <w:rFonts w:ascii="Times New Roman" w:hAnsi="Times New Roman" w:cs="Times New Roman"/>
        </w:rPr>
        <w:t xml:space="preserve">&amp; </w:t>
      </w:r>
      <w:proofErr w:type="spellStart"/>
      <w:r w:rsidR="00003B0E">
        <w:rPr>
          <w:rFonts w:ascii="Times New Roman" w:hAnsi="Times New Roman" w:cs="Times New Roman"/>
        </w:rPr>
        <w:t>Raskoff</w:t>
      </w:r>
      <w:proofErr w:type="spellEnd"/>
      <w:r w:rsidR="00003B0E">
        <w:rPr>
          <w:rFonts w:ascii="Times New Roman" w:hAnsi="Times New Roman" w:cs="Times New Roman"/>
        </w:rPr>
        <w:t xml:space="preserve">, </w:t>
      </w:r>
      <w:r w:rsidRPr="008032B2">
        <w:rPr>
          <w:rFonts w:ascii="Times New Roman" w:hAnsi="Times New Roman" w:cs="Times New Roman"/>
        </w:rPr>
        <w:t>Z</w:t>
      </w:r>
      <w:r w:rsidR="00003B0E">
        <w:rPr>
          <w:rFonts w:ascii="Times New Roman" w:hAnsi="Times New Roman" w:cs="Times New Roman"/>
        </w:rPr>
        <w:t>.</w:t>
      </w:r>
      <w:r w:rsidRPr="008032B2">
        <w:rPr>
          <w:rFonts w:ascii="Times New Roman" w:hAnsi="Times New Roman" w:cs="Times New Roman"/>
        </w:rPr>
        <w:t xml:space="preserve"> A. (1972). Cognitive and attentional mechanisms in delay of gratification. </w:t>
      </w:r>
      <w:r w:rsidRPr="008032B2">
        <w:rPr>
          <w:rFonts w:ascii="Times New Roman" w:hAnsi="Times New Roman" w:cs="Times New Roman"/>
          <w:i/>
          <w:iCs/>
        </w:rPr>
        <w:t>Journal of Personality and Social Psychology, 21</w:t>
      </w:r>
      <w:r w:rsidRPr="008032B2">
        <w:rPr>
          <w:rFonts w:ascii="Times New Roman" w:hAnsi="Times New Roman" w:cs="Times New Roman"/>
        </w:rPr>
        <w:t xml:space="preserve"> (2), 204–218. https://doi.org/10.1037/h0032198</w:t>
      </w:r>
      <w:bookmarkStart w:id="1" w:name="_GoBack"/>
      <w:bookmarkEnd w:id="1"/>
    </w:p>
    <w:p w14:paraId="290B8A87" w14:textId="77777777" w:rsidR="008C2161" w:rsidRDefault="008032B2" w:rsidP="008C2161">
      <w:pPr>
        <w:spacing w:line="480" w:lineRule="auto"/>
        <w:ind w:left="720" w:hanging="720"/>
        <w:contextualSpacing/>
        <w:rPr>
          <w:rFonts w:ascii="Times New Roman" w:hAnsi="Times New Roman" w:cs="Times New Roman"/>
        </w:rPr>
      </w:pPr>
      <w:proofErr w:type="spellStart"/>
      <w:r w:rsidRPr="008032B2">
        <w:rPr>
          <w:rFonts w:ascii="Times New Roman" w:hAnsi="Times New Roman" w:cs="Times New Roman"/>
        </w:rPr>
        <w:t>Mischel</w:t>
      </w:r>
      <w:proofErr w:type="spellEnd"/>
      <w:r w:rsidRPr="008032B2">
        <w:rPr>
          <w:rFonts w:ascii="Times New Roman" w:hAnsi="Times New Roman" w:cs="Times New Roman"/>
        </w:rPr>
        <w:t xml:space="preserve">, </w:t>
      </w:r>
      <w:r>
        <w:rPr>
          <w:rFonts w:ascii="Times New Roman" w:hAnsi="Times New Roman" w:cs="Times New Roman"/>
        </w:rPr>
        <w:t>W.,</w:t>
      </w:r>
      <w:r w:rsidRPr="008032B2">
        <w:rPr>
          <w:rFonts w:ascii="Times New Roman" w:hAnsi="Times New Roman" w:cs="Times New Roman"/>
        </w:rPr>
        <w:t xml:space="preserve"> </w:t>
      </w:r>
      <w:proofErr w:type="spellStart"/>
      <w:r w:rsidRPr="008032B2">
        <w:rPr>
          <w:rFonts w:ascii="Times New Roman" w:hAnsi="Times New Roman" w:cs="Times New Roman"/>
        </w:rPr>
        <w:t>Shoda</w:t>
      </w:r>
      <w:proofErr w:type="spellEnd"/>
      <w:r w:rsidRPr="008032B2">
        <w:rPr>
          <w:rFonts w:ascii="Times New Roman" w:hAnsi="Times New Roman" w:cs="Times New Roman"/>
        </w:rPr>
        <w:t xml:space="preserve">, </w:t>
      </w:r>
      <w:r>
        <w:rPr>
          <w:rFonts w:ascii="Times New Roman" w:hAnsi="Times New Roman" w:cs="Times New Roman"/>
        </w:rPr>
        <w:t>Y., &amp;</w:t>
      </w:r>
      <w:r w:rsidRPr="008032B2">
        <w:rPr>
          <w:rFonts w:ascii="Times New Roman" w:hAnsi="Times New Roman" w:cs="Times New Roman"/>
        </w:rPr>
        <w:t xml:space="preserve"> </w:t>
      </w:r>
      <w:proofErr w:type="spellStart"/>
      <w:r w:rsidRPr="008032B2">
        <w:rPr>
          <w:rFonts w:ascii="Times New Roman" w:hAnsi="Times New Roman" w:cs="Times New Roman"/>
        </w:rPr>
        <w:t>Rodriguzez</w:t>
      </w:r>
      <w:proofErr w:type="spellEnd"/>
      <w:r>
        <w:rPr>
          <w:rFonts w:ascii="Times New Roman" w:hAnsi="Times New Roman" w:cs="Times New Roman"/>
        </w:rPr>
        <w:t>, M.</w:t>
      </w:r>
      <w:r w:rsidR="00003B0E">
        <w:rPr>
          <w:rFonts w:ascii="Times New Roman" w:hAnsi="Times New Roman" w:cs="Times New Roman"/>
        </w:rPr>
        <w:t>I.</w:t>
      </w:r>
      <w:r w:rsidRPr="008032B2">
        <w:rPr>
          <w:rFonts w:ascii="Times New Roman" w:hAnsi="Times New Roman" w:cs="Times New Roman"/>
        </w:rPr>
        <w:t xml:space="preserve"> (1989). Delay of gratification in children. </w:t>
      </w:r>
      <w:r w:rsidRPr="008032B2">
        <w:rPr>
          <w:rFonts w:ascii="Times New Roman" w:hAnsi="Times New Roman" w:cs="Times New Roman"/>
          <w:i/>
          <w:iCs/>
        </w:rPr>
        <w:t>Science</w:t>
      </w:r>
      <w:r w:rsidR="008A3E16">
        <w:rPr>
          <w:rFonts w:ascii="Times New Roman" w:hAnsi="Times New Roman" w:cs="Times New Roman"/>
        </w:rPr>
        <w:t>,</w:t>
      </w:r>
      <w:r w:rsidRPr="008032B2">
        <w:rPr>
          <w:rFonts w:ascii="Times New Roman" w:hAnsi="Times New Roman" w:cs="Times New Roman"/>
        </w:rPr>
        <w:t xml:space="preserve"> </w:t>
      </w:r>
      <w:r w:rsidRPr="008032B2">
        <w:rPr>
          <w:rFonts w:ascii="Times New Roman" w:hAnsi="Times New Roman" w:cs="Times New Roman"/>
          <w:i/>
          <w:iCs/>
        </w:rPr>
        <w:t>244</w:t>
      </w:r>
      <w:r w:rsidRPr="008032B2">
        <w:rPr>
          <w:rFonts w:ascii="Times New Roman" w:hAnsi="Times New Roman" w:cs="Times New Roman"/>
        </w:rPr>
        <w:t xml:space="preserve"> (4907)</w:t>
      </w:r>
      <w:r>
        <w:rPr>
          <w:rFonts w:ascii="Times New Roman" w:hAnsi="Times New Roman" w:cs="Times New Roman"/>
        </w:rPr>
        <w:t xml:space="preserve">, </w:t>
      </w:r>
      <w:r w:rsidRPr="008032B2">
        <w:rPr>
          <w:rFonts w:ascii="Times New Roman" w:hAnsi="Times New Roman" w:cs="Times New Roman"/>
        </w:rPr>
        <w:t>933–938.</w:t>
      </w:r>
      <w:r w:rsidR="000A4E13">
        <w:rPr>
          <w:rFonts w:ascii="Times New Roman" w:hAnsi="Times New Roman" w:cs="Times New Roman"/>
        </w:rPr>
        <w:t xml:space="preserve"> </w:t>
      </w:r>
      <w:r w:rsidR="000A4E13" w:rsidRPr="000A4E13">
        <w:rPr>
          <w:rFonts w:ascii="Times New Roman" w:hAnsi="Times New Roman" w:cs="Times New Roman"/>
        </w:rPr>
        <w:t>https://doi.org/10.1126/science.2658056</w:t>
      </w:r>
      <w:r w:rsidR="000A4E13">
        <w:rPr>
          <w:rFonts w:ascii="Times New Roman" w:hAnsi="Times New Roman" w:cs="Times New Roman"/>
        </w:rPr>
        <w:t xml:space="preserve"> </w:t>
      </w:r>
    </w:p>
    <w:p w14:paraId="223CE28B" w14:textId="7AFAF45C" w:rsidR="000A4E13" w:rsidRDefault="00A72DE7" w:rsidP="008C2161">
      <w:pPr>
        <w:spacing w:line="480" w:lineRule="auto"/>
        <w:ind w:left="720" w:hanging="720"/>
        <w:contextualSpacing/>
        <w:rPr>
          <w:rFonts w:ascii="Times New Roman" w:hAnsi="Times New Roman" w:cs="Times New Roman"/>
        </w:rPr>
      </w:pPr>
      <w:r>
        <w:rPr>
          <w:rFonts w:ascii="Times New Roman" w:hAnsi="Times New Roman" w:cs="Times New Roman"/>
        </w:rPr>
        <w:lastRenderedPageBreak/>
        <w:t xml:space="preserve">Watts, T. W., Duncan, G. J., &amp; Quan, H. (2018). Revisiting the marshmallow test: A conceptual replication </w:t>
      </w:r>
      <w:r w:rsidR="008C2161">
        <w:rPr>
          <w:rFonts w:ascii="Times New Roman" w:hAnsi="Times New Roman" w:cs="Times New Roman"/>
        </w:rPr>
        <w:t xml:space="preserve">investigating links between early delay of gratification and later outcomes. </w:t>
      </w:r>
      <w:r w:rsidR="008C2161">
        <w:rPr>
          <w:rFonts w:ascii="Times New Roman" w:hAnsi="Times New Roman" w:cs="Times New Roman"/>
          <w:i/>
          <w:iCs/>
        </w:rPr>
        <w:t xml:space="preserve">Psychological Science, </w:t>
      </w:r>
      <w:r w:rsidR="00BF1BA9">
        <w:rPr>
          <w:rFonts w:ascii="Times New Roman" w:hAnsi="Times New Roman" w:cs="Times New Roman"/>
          <w:i/>
          <w:iCs/>
        </w:rPr>
        <w:t>29</w:t>
      </w:r>
      <w:r w:rsidR="00BF1BA9">
        <w:rPr>
          <w:rFonts w:ascii="Times New Roman" w:hAnsi="Times New Roman" w:cs="Times New Roman"/>
        </w:rPr>
        <w:t xml:space="preserve"> (7), 1159-1177.</w:t>
      </w:r>
      <w:r w:rsidR="00C75C1F">
        <w:rPr>
          <w:rFonts w:ascii="Times New Roman" w:hAnsi="Times New Roman" w:cs="Times New Roman"/>
        </w:rPr>
        <w:t xml:space="preserve"> </w:t>
      </w:r>
      <w:r w:rsidR="0052174B" w:rsidRPr="0052174B">
        <w:rPr>
          <w:rFonts w:ascii="Times New Roman" w:hAnsi="Times New Roman" w:cs="Times New Roman"/>
        </w:rPr>
        <w:t>https://doi.org/10.1177%2F0956797618761661</w:t>
      </w:r>
      <w:r w:rsidR="00C75C1F">
        <w:rPr>
          <w:rFonts w:ascii="Times New Roman" w:hAnsi="Times New Roman" w:cs="Times New Roman"/>
        </w:rPr>
        <w:t xml:space="preserve"> </w:t>
      </w:r>
    </w:p>
    <w:p w14:paraId="6D53C686" w14:textId="77777777" w:rsidR="0052174B" w:rsidRPr="00BF1BA9" w:rsidRDefault="0052174B" w:rsidP="008C2161">
      <w:pPr>
        <w:spacing w:line="480" w:lineRule="auto"/>
        <w:ind w:left="720" w:hanging="720"/>
        <w:contextualSpacing/>
        <w:rPr>
          <w:rFonts w:ascii="Times New Roman" w:hAnsi="Times New Roman" w:cs="Times New Roman"/>
        </w:rPr>
      </w:pPr>
    </w:p>
    <w:p w14:paraId="564CB5BB" w14:textId="77777777" w:rsidR="008032B2" w:rsidRPr="008032B2" w:rsidRDefault="008032B2" w:rsidP="00003B0E">
      <w:pPr>
        <w:spacing w:line="480" w:lineRule="auto"/>
        <w:contextualSpacing/>
        <w:rPr>
          <w:rFonts w:ascii="Times New Roman" w:hAnsi="Times New Roman" w:cs="Times New Roman"/>
        </w:rPr>
      </w:pPr>
    </w:p>
    <w:p w14:paraId="499DB8FC" w14:textId="4722A800" w:rsidR="008032B2" w:rsidRPr="008032B2" w:rsidRDefault="008032B2" w:rsidP="00003B0E">
      <w:pPr>
        <w:spacing w:line="480" w:lineRule="auto"/>
        <w:contextualSpacing/>
        <w:rPr>
          <w:rFonts w:ascii="Times New Roman" w:hAnsi="Times New Roman" w:cs="Times New Roman"/>
        </w:rPr>
      </w:pPr>
    </w:p>
    <w:sectPr w:rsidR="008032B2" w:rsidRPr="008032B2" w:rsidSect="00D75FC1">
      <w:headerReference w:type="default" r:id="rId7"/>
      <w:headerReference w:type="first" r:id="rId8"/>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842BB" w14:textId="77777777" w:rsidR="0081618A" w:rsidRDefault="0081618A" w:rsidP="00003B0E">
      <w:r>
        <w:separator/>
      </w:r>
    </w:p>
  </w:endnote>
  <w:endnote w:type="continuationSeparator" w:id="0">
    <w:p w14:paraId="60DF24DA" w14:textId="77777777" w:rsidR="0081618A" w:rsidRDefault="0081618A" w:rsidP="00003B0E">
      <w:r>
        <w:continuationSeparator/>
      </w:r>
    </w:p>
  </w:endnote>
  <w:endnote w:type="continuationNotice" w:id="1">
    <w:p w14:paraId="66E8AB3F" w14:textId="77777777" w:rsidR="0081618A" w:rsidRDefault="00816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D3788" w14:textId="77777777" w:rsidR="0081618A" w:rsidRDefault="0081618A" w:rsidP="00003B0E">
      <w:r>
        <w:separator/>
      </w:r>
    </w:p>
  </w:footnote>
  <w:footnote w:type="continuationSeparator" w:id="0">
    <w:p w14:paraId="4328440D" w14:textId="77777777" w:rsidR="0081618A" w:rsidRDefault="0081618A" w:rsidP="00003B0E">
      <w:r>
        <w:continuationSeparator/>
      </w:r>
    </w:p>
  </w:footnote>
  <w:footnote w:type="continuationNotice" w:id="1">
    <w:p w14:paraId="51F80D5B" w14:textId="77777777" w:rsidR="0081618A" w:rsidRDefault="008161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133430"/>
      <w:docPartObj>
        <w:docPartGallery w:val="Page Numbers (Top of Page)"/>
        <w:docPartUnique/>
      </w:docPartObj>
    </w:sdtPr>
    <w:sdtEndPr>
      <w:rPr>
        <w:noProof/>
      </w:rPr>
    </w:sdtEndPr>
    <w:sdtContent>
      <w:p w14:paraId="5ACF04E6" w14:textId="77777777" w:rsidR="00003B0E" w:rsidRDefault="00003B0E" w:rsidP="004F0F7C">
        <w:pPr>
          <w:pStyle w:val="Header"/>
          <w:ind w:right="120"/>
          <w:jc w:val="right"/>
        </w:pPr>
        <w:r w:rsidRPr="004F0F7C">
          <w:rPr>
            <w:rFonts w:ascii="Times New Roman" w:hAnsi="Times New Roman" w:cs="Times New Roman"/>
          </w:rPr>
          <w:t>Delayed</w:t>
        </w:r>
        <w:r>
          <w:t xml:space="preserve"> </w:t>
        </w:r>
        <w:r w:rsidR="004F0F7C" w:rsidRPr="004F0F7C">
          <w:rPr>
            <w:rFonts w:ascii="Times New Roman" w:hAnsi="Times New Roman" w:cs="Times New Roman"/>
          </w:rPr>
          <w:t>Gratification</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588BD1CB" w14:textId="77777777" w:rsidR="00003B0E" w:rsidRDefault="00003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89CE4" w14:textId="4B00646E" w:rsidR="00D75FC1" w:rsidRPr="004F0F7C" w:rsidRDefault="00D75FC1" w:rsidP="00D75FC1">
    <w:pPr>
      <w:pStyle w:val="Header"/>
      <w:tabs>
        <w:tab w:val="clear" w:pos="4680"/>
        <w:tab w:val="clear" w:pos="9360"/>
        <w:tab w:val="left" w:pos="1945"/>
      </w:tabs>
      <w:rPr>
        <w:rFonts w:ascii="Times New Roman" w:hAnsi="Times New Roman" w:cs="Times New Roman"/>
      </w:rPr>
    </w:pPr>
    <w:r w:rsidRPr="004F0F7C">
      <w:rPr>
        <w:rFonts w:ascii="Times New Roman" w:hAnsi="Times New Roman" w:cs="Times New Roman"/>
      </w:rPr>
      <w:t xml:space="preserve">Delayed </w:t>
    </w:r>
    <w:r w:rsidR="004F0F7C" w:rsidRPr="004F0F7C">
      <w:rPr>
        <w:rFonts w:ascii="Times New Roman" w:hAnsi="Times New Roman" w:cs="Times New Roman"/>
      </w:rPr>
      <w:t>Gratification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FE"/>
    <w:rsid w:val="00003B0E"/>
    <w:rsid w:val="00010D9F"/>
    <w:rsid w:val="00015019"/>
    <w:rsid w:val="00032C10"/>
    <w:rsid w:val="000411CD"/>
    <w:rsid w:val="00045567"/>
    <w:rsid w:val="000877C0"/>
    <w:rsid w:val="000A4E13"/>
    <w:rsid w:val="000C7B6B"/>
    <w:rsid w:val="000D3252"/>
    <w:rsid w:val="000E59F5"/>
    <w:rsid w:val="000F1671"/>
    <w:rsid w:val="00101FD8"/>
    <w:rsid w:val="00102027"/>
    <w:rsid w:val="00106D11"/>
    <w:rsid w:val="001318E0"/>
    <w:rsid w:val="00135D20"/>
    <w:rsid w:val="00164BBC"/>
    <w:rsid w:val="001B1132"/>
    <w:rsid w:val="001E4DA1"/>
    <w:rsid w:val="001E5AA4"/>
    <w:rsid w:val="00232C6D"/>
    <w:rsid w:val="002521BA"/>
    <w:rsid w:val="002704D1"/>
    <w:rsid w:val="003756AF"/>
    <w:rsid w:val="003A108D"/>
    <w:rsid w:val="003B6ED0"/>
    <w:rsid w:val="003D0423"/>
    <w:rsid w:val="003D78A2"/>
    <w:rsid w:val="003E011E"/>
    <w:rsid w:val="003F1A9E"/>
    <w:rsid w:val="00432A01"/>
    <w:rsid w:val="0045385F"/>
    <w:rsid w:val="00456F2C"/>
    <w:rsid w:val="00470303"/>
    <w:rsid w:val="00477B39"/>
    <w:rsid w:val="004926AA"/>
    <w:rsid w:val="0049652C"/>
    <w:rsid w:val="004D1C4E"/>
    <w:rsid w:val="004D4F53"/>
    <w:rsid w:val="004F0F7C"/>
    <w:rsid w:val="00512165"/>
    <w:rsid w:val="00517CA8"/>
    <w:rsid w:val="0052174B"/>
    <w:rsid w:val="005300CA"/>
    <w:rsid w:val="00543FDA"/>
    <w:rsid w:val="00561249"/>
    <w:rsid w:val="005728FB"/>
    <w:rsid w:val="005C59E8"/>
    <w:rsid w:val="005D3B77"/>
    <w:rsid w:val="006269F8"/>
    <w:rsid w:val="006A06B8"/>
    <w:rsid w:val="006A7FA2"/>
    <w:rsid w:val="006C2235"/>
    <w:rsid w:val="006C4E81"/>
    <w:rsid w:val="006F7FF4"/>
    <w:rsid w:val="007175FE"/>
    <w:rsid w:val="007204DA"/>
    <w:rsid w:val="00726512"/>
    <w:rsid w:val="00730984"/>
    <w:rsid w:val="007352D9"/>
    <w:rsid w:val="007560C1"/>
    <w:rsid w:val="00780969"/>
    <w:rsid w:val="00782489"/>
    <w:rsid w:val="00792F0E"/>
    <w:rsid w:val="007A630A"/>
    <w:rsid w:val="007D161E"/>
    <w:rsid w:val="007E2862"/>
    <w:rsid w:val="008032B2"/>
    <w:rsid w:val="0081618A"/>
    <w:rsid w:val="0082599B"/>
    <w:rsid w:val="00832D60"/>
    <w:rsid w:val="00852F00"/>
    <w:rsid w:val="00861BD8"/>
    <w:rsid w:val="00872068"/>
    <w:rsid w:val="00883EC5"/>
    <w:rsid w:val="008A3E16"/>
    <w:rsid w:val="008C2161"/>
    <w:rsid w:val="008C2851"/>
    <w:rsid w:val="008C4805"/>
    <w:rsid w:val="00907417"/>
    <w:rsid w:val="009079EE"/>
    <w:rsid w:val="009436F8"/>
    <w:rsid w:val="00957A4A"/>
    <w:rsid w:val="00973E56"/>
    <w:rsid w:val="00976AB4"/>
    <w:rsid w:val="00980FFD"/>
    <w:rsid w:val="00982261"/>
    <w:rsid w:val="009E0B32"/>
    <w:rsid w:val="009E402F"/>
    <w:rsid w:val="009F04B3"/>
    <w:rsid w:val="009F7CC2"/>
    <w:rsid w:val="00A05229"/>
    <w:rsid w:val="00A14ED8"/>
    <w:rsid w:val="00A4789C"/>
    <w:rsid w:val="00A6578D"/>
    <w:rsid w:val="00A674E3"/>
    <w:rsid w:val="00A72DE7"/>
    <w:rsid w:val="00A81661"/>
    <w:rsid w:val="00A93C9D"/>
    <w:rsid w:val="00AB0FED"/>
    <w:rsid w:val="00AC223C"/>
    <w:rsid w:val="00AE5D8E"/>
    <w:rsid w:val="00AE7702"/>
    <w:rsid w:val="00AF1961"/>
    <w:rsid w:val="00B14AEF"/>
    <w:rsid w:val="00B42FF5"/>
    <w:rsid w:val="00B56045"/>
    <w:rsid w:val="00B85288"/>
    <w:rsid w:val="00BE3A5A"/>
    <w:rsid w:val="00BF0DA4"/>
    <w:rsid w:val="00BF1BA9"/>
    <w:rsid w:val="00BF3B67"/>
    <w:rsid w:val="00BF4222"/>
    <w:rsid w:val="00C03AF5"/>
    <w:rsid w:val="00C12D97"/>
    <w:rsid w:val="00C3592B"/>
    <w:rsid w:val="00C751B6"/>
    <w:rsid w:val="00C75C1F"/>
    <w:rsid w:val="00CA517E"/>
    <w:rsid w:val="00CA537C"/>
    <w:rsid w:val="00CB0B7E"/>
    <w:rsid w:val="00CC0889"/>
    <w:rsid w:val="00CC75B2"/>
    <w:rsid w:val="00CE0224"/>
    <w:rsid w:val="00CE793A"/>
    <w:rsid w:val="00CF5A27"/>
    <w:rsid w:val="00D22EDC"/>
    <w:rsid w:val="00D310D2"/>
    <w:rsid w:val="00D327A7"/>
    <w:rsid w:val="00D70582"/>
    <w:rsid w:val="00D75FC1"/>
    <w:rsid w:val="00D91E19"/>
    <w:rsid w:val="00DB3946"/>
    <w:rsid w:val="00DC5F85"/>
    <w:rsid w:val="00DE7539"/>
    <w:rsid w:val="00E02215"/>
    <w:rsid w:val="00E07607"/>
    <w:rsid w:val="00E44806"/>
    <w:rsid w:val="00E7730B"/>
    <w:rsid w:val="00E854FA"/>
    <w:rsid w:val="00E952E6"/>
    <w:rsid w:val="00E954DE"/>
    <w:rsid w:val="00EC62F0"/>
    <w:rsid w:val="00ED36BB"/>
    <w:rsid w:val="00EE6FAC"/>
    <w:rsid w:val="00EF5DB9"/>
    <w:rsid w:val="00F604AF"/>
    <w:rsid w:val="00F937E8"/>
    <w:rsid w:val="00FA4C67"/>
    <w:rsid w:val="00FC4C55"/>
    <w:rsid w:val="00FE03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292D"/>
  <w15:chartTrackingRefBased/>
  <w15:docId w15:val="{9664D2D0-B495-4F46-AA2A-28C4D3C1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7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2B2"/>
    <w:rPr>
      <w:color w:val="0563C1" w:themeColor="hyperlink"/>
      <w:u w:val="single"/>
    </w:rPr>
  </w:style>
  <w:style w:type="character" w:styleId="UnresolvedMention">
    <w:name w:val="Unresolved Mention"/>
    <w:basedOn w:val="DefaultParagraphFont"/>
    <w:uiPriority w:val="99"/>
    <w:semiHidden/>
    <w:unhideWhenUsed/>
    <w:rsid w:val="008032B2"/>
    <w:rPr>
      <w:color w:val="605E5C"/>
      <w:shd w:val="clear" w:color="auto" w:fill="E1DFDD"/>
    </w:rPr>
  </w:style>
  <w:style w:type="character" w:styleId="FollowedHyperlink">
    <w:name w:val="FollowedHyperlink"/>
    <w:basedOn w:val="DefaultParagraphFont"/>
    <w:uiPriority w:val="99"/>
    <w:semiHidden/>
    <w:unhideWhenUsed/>
    <w:rsid w:val="00832D60"/>
    <w:rPr>
      <w:color w:val="954F72" w:themeColor="followedHyperlink"/>
      <w:u w:val="single"/>
    </w:rPr>
  </w:style>
  <w:style w:type="paragraph" w:styleId="Header">
    <w:name w:val="header"/>
    <w:basedOn w:val="Normal"/>
    <w:link w:val="HeaderChar"/>
    <w:uiPriority w:val="99"/>
    <w:unhideWhenUsed/>
    <w:rsid w:val="00003B0E"/>
    <w:pPr>
      <w:tabs>
        <w:tab w:val="center" w:pos="4680"/>
        <w:tab w:val="right" w:pos="9360"/>
      </w:tabs>
    </w:pPr>
  </w:style>
  <w:style w:type="character" w:customStyle="1" w:styleId="HeaderChar">
    <w:name w:val="Header Char"/>
    <w:basedOn w:val="DefaultParagraphFont"/>
    <w:link w:val="Header"/>
    <w:uiPriority w:val="99"/>
    <w:rsid w:val="00003B0E"/>
  </w:style>
  <w:style w:type="paragraph" w:styleId="Footer">
    <w:name w:val="footer"/>
    <w:basedOn w:val="Normal"/>
    <w:link w:val="FooterChar"/>
    <w:uiPriority w:val="99"/>
    <w:unhideWhenUsed/>
    <w:rsid w:val="00003B0E"/>
    <w:pPr>
      <w:tabs>
        <w:tab w:val="center" w:pos="4680"/>
        <w:tab w:val="right" w:pos="9360"/>
      </w:tabs>
    </w:pPr>
  </w:style>
  <w:style w:type="character" w:customStyle="1" w:styleId="FooterChar">
    <w:name w:val="Footer Char"/>
    <w:basedOn w:val="DefaultParagraphFont"/>
    <w:link w:val="Footer"/>
    <w:uiPriority w:val="99"/>
    <w:rsid w:val="00003B0E"/>
  </w:style>
  <w:style w:type="character" w:styleId="CommentReference">
    <w:name w:val="annotation reference"/>
    <w:basedOn w:val="DefaultParagraphFont"/>
    <w:uiPriority w:val="99"/>
    <w:semiHidden/>
    <w:unhideWhenUsed/>
    <w:rsid w:val="00003B0E"/>
    <w:rPr>
      <w:sz w:val="16"/>
      <w:szCs w:val="16"/>
    </w:rPr>
  </w:style>
  <w:style w:type="paragraph" w:styleId="CommentText">
    <w:name w:val="annotation text"/>
    <w:basedOn w:val="Normal"/>
    <w:link w:val="CommentTextChar"/>
    <w:uiPriority w:val="99"/>
    <w:semiHidden/>
    <w:unhideWhenUsed/>
    <w:rsid w:val="00003B0E"/>
    <w:rPr>
      <w:sz w:val="20"/>
      <w:szCs w:val="20"/>
    </w:rPr>
  </w:style>
  <w:style w:type="character" w:customStyle="1" w:styleId="CommentTextChar">
    <w:name w:val="Comment Text Char"/>
    <w:basedOn w:val="DefaultParagraphFont"/>
    <w:link w:val="CommentText"/>
    <w:uiPriority w:val="99"/>
    <w:semiHidden/>
    <w:rsid w:val="00003B0E"/>
    <w:rPr>
      <w:sz w:val="20"/>
      <w:szCs w:val="20"/>
    </w:rPr>
  </w:style>
  <w:style w:type="paragraph" w:styleId="CommentSubject">
    <w:name w:val="annotation subject"/>
    <w:basedOn w:val="CommentText"/>
    <w:next w:val="CommentText"/>
    <w:link w:val="CommentSubjectChar"/>
    <w:uiPriority w:val="99"/>
    <w:semiHidden/>
    <w:unhideWhenUsed/>
    <w:rsid w:val="00003B0E"/>
    <w:rPr>
      <w:b/>
      <w:bCs/>
    </w:rPr>
  </w:style>
  <w:style w:type="character" w:customStyle="1" w:styleId="CommentSubjectChar">
    <w:name w:val="Comment Subject Char"/>
    <w:basedOn w:val="CommentTextChar"/>
    <w:link w:val="CommentSubject"/>
    <w:uiPriority w:val="99"/>
    <w:semiHidden/>
    <w:rsid w:val="00003B0E"/>
    <w:rPr>
      <w:b/>
      <w:bCs/>
      <w:sz w:val="20"/>
      <w:szCs w:val="20"/>
    </w:rPr>
  </w:style>
  <w:style w:type="paragraph" w:styleId="BalloonText">
    <w:name w:val="Balloon Text"/>
    <w:basedOn w:val="Normal"/>
    <w:link w:val="BalloonTextChar"/>
    <w:uiPriority w:val="99"/>
    <w:semiHidden/>
    <w:unhideWhenUsed/>
    <w:rsid w:val="00003B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0E"/>
    <w:rPr>
      <w:rFonts w:ascii="Segoe UI" w:hAnsi="Segoe UI" w:cs="Segoe UI"/>
      <w:sz w:val="18"/>
      <w:szCs w:val="18"/>
    </w:rPr>
  </w:style>
  <w:style w:type="paragraph" w:styleId="NoSpacing">
    <w:name w:val="No Spacing"/>
    <w:link w:val="NoSpacingChar"/>
    <w:uiPriority w:val="1"/>
    <w:qFormat/>
    <w:rsid w:val="00D75FC1"/>
    <w:rPr>
      <w:sz w:val="22"/>
      <w:szCs w:val="22"/>
      <w:lang w:eastAsia="zh-CN"/>
    </w:rPr>
  </w:style>
  <w:style w:type="character" w:customStyle="1" w:styleId="NoSpacingChar">
    <w:name w:val="No Spacing Char"/>
    <w:basedOn w:val="DefaultParagraphFont"/>
    <w:link w:val="NoSpacing"/>
    <w:uiPriority w:val="1"/>
    <w:rsid w:val="00D75FC1"/>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24462">
      <w:bodyDiv w:val="1"/>
      <w:marLeft w:val="0"/>
      <w:marRight w:val="0"/>
      <w:marTop w:val="0"/>
      <w:marBottom w:val="0"/>
      <w:divBdr>
        <w:top w:val="none" w:sz="0" w:space="0" w:color="auto"/>
        <w:left w:val="none" w:sz="0" w:space="0" w:color="auto"/>
        <w:bottom w:val="none" w:sz="0" w:space="0" w:color="auto"/>
        <w:right w:val="none" w:sz="0" w:space="0" w:color="auto"/>
      </w:divBdr>
    </w:div>
    <w:div w:id="133903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2551-EA02-3744-B8A6-E18D9A5A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Delayed Satisfaction and School Performance: 
How Wealth Influences Academic Performance in School</dc:title>
  <dc:subject/>
  <dc:creator>jake626underland</dc:creator>
  <cp:keywords/>
  <dc:description/>
  <cp:lastModifiedBy>jake626underland</cp:lastModifiedBy>
  <cp:revision>2</cp:revision>
  <dcterms:created xsi:type="dcterms:W3CDTF">2020-02-04T14:43:00Z</dcterms:created>
  <dcterms:modified xsi:type="dcterms:W3CDTF">2020-02-04T14:43:00Z</dcterms:modified>
</cp:coreProperties>
</file>