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F67" w:rsidRDefault="00CB7315">
      <w:r>
        <w:rPr>
          <w:rFonts w:hint="eastAsia"/>
        </w:rPr>
        <w:t>倫理　テスト問題</w:t>
      </w:r>
    </w:p>
    <w:p w:rsidR="00CB7315" w:rsidRDefault="00CB7315"/>
    <w:p w:rsidR="00CB7315" w:rsidRPr="00CB7315" w:rsidRDefault="00CB7315">
      <w:pPr>
        <w:rPr>
          <w:b/>
          <w:bCs/>
        </w:rPr>
      </w:pPr>
      <w:r w:rsidRPr="00CB7315">
        <w:rPr>
          <w:rFonts w:hint="eastAsia"/>
          <w:b/>
          <w:bCs/>
        </w:rPr>
        <w:t>この授業を聞いて考えたことを論じなさい</w:t>
      </w:r>
    </w:p>
    <w:p w:rsidR="00CB7315" w:rsidRDefault="00CB7315"/>
    <w:p w:rsidR="00AA4A9C" w:rsidRDefault="00AA4A9C" w:rsidP="00AA4A9C">
      <w:pPr>
        <w:pStyle w:val="ListParagraph"/>
        <w:numPr>
          <w:ilvl w:val="0"/>
          <w:numId w:val="1"/>
        </w:numPr>
      </w:pPr>
      <w:r>
        <w:rPr>
          <w:rFonts w:hint="eastAsia"/>
        </w:rPr>
        <w:t>デカルト的懐疑</w:t>
      </w:r>
    </w:p>
    <w:p w:rsidR="00AA4A9C" w:rsidRDefault="00AA4A9C" w:rsidP="00AA4A9C">
      <w:pPr>
        <w:pStyle w:val="ListParagraph"/>
        <w:numPr>
          <w:ilvl w:val="0"/>
          <w:numId w:val="1"/>
        </w:numPr>
      </w:pPr>
      <w:r>
        <w:rPr>
          <w:rFonts w:hint="eastAsia"/>
        </w:rPr>
        <w:t>デカルトの心身問題</w:t>
      </w:r>
    </w:p>
    <w:p w:rsidR="00AA4A9C" w:rsidRDefault="00AA4A9C" w:rsidP="00AA4A9C">
      <w:pPr>
        <w:pStyle w:val="ListParagraph"/>
        <w:numPr>
          <w:ilvl w:val="0"/>
          <w:numId w:val="1"/>
        </w:numPr>
      </w:pPr>
      <w:proofErr w:type="spellStart"/>
      <w:r>
        <w:t>Generosite</w:t>
      </w:r>
      <w:proofErr w:type="spellEnd"/>
    </w:p>
    <w:p w:rsidR="00AA4A9C" w:rsidRDefault="00AA4A9C" w:rsidP="00AA4A9C"/>
    <w:p w:rsidR="00AA4A9C" w:rsidRDefault="00AA4A9C" w:rsidP="00AA4A9C"/>
    <w:p w:rsidR="00D74FC5" w:rsidRDefault="00AA4A9C" w:rsidP="00D74FC5">
      <w:pPr>
        <w:pStyle w:val="ListParagraph"/>
        <w:numPr>
          <w:ilvl w:val="0"/>
          <w:numId w:val="2"/>
        </w:numPr>
      </w:pPr>
      <w:r>
        <w:t xml:space="preserve">Cogito Ergo Sum – </w:t>
      </w:r>
      <w:r>
        <w:rPr>
          <w:rFonts w:hint="eastAsia"/>
        </w:rPr>
        <w:t>我考えるゆえに我あり</w:t>
      </w:r>
      <w:r>
        <w:br/>
      </w:r>
      <w:r>
        <w:rPr>
          <w:rFonts w:hint="eastAsia"/>
        </w:rPr>
        <w:t>何が本物で何が幻想なのかわからない。何が実在するのか、何を信じればいいのか？</w:t>
      </w:r>
      <w:r>
        <w:br/>
      </w:r>
      <w:r>
        <w:rPr>
          <w:rFonts w:hint="eastAsia"/>
        </w:rPr>
        <w:t>感覚は人間を欺く→</w:t>
      </w:r>
      <w:r>
        <w:rPr>
          <w:rFonts w:hint="eastAsia"/>
        </w:rPr>
        <w:t xml:space="preserve"> </w:t>
      </w:r>
      <w:r>
        <w:rPr>
          <w:rFonts w:hint="eastAsia"/>
        </w:rPr>
        <w:t>何が確たる事実なのか判断できないということを思考実験的に明かした。</w:t>
      </w:r>
      <w:r>
        <w:br/>
      </w:r>
      <w:r>
        <w:rPr>
          <w:rFonts w:hint="eastAsia"/>
        </w:rPr>
        <w:t>では、何を信じることができるか？見ている自分、考えている自分は疑いない事実である。</w:t>
      </w:r>
      <w:r>
        <w:br/>
      </w:r>
      <w:r>
        <w:rPr>
          <w:rFonts w:hint="eastAsia"/>
        </w:rPr>
        <w:t>「私がここでこの手（実在するかどうかわからないこの手）を見ている自分の存在さえも否定すれば、私はあの狂人たちと何も変わらないだろう」←フーコー、デカルトは狂気をコギト（思考）から排除したという批判。</w:t>
      </w:r>
      <w:r>
        <w:br/>
      </w:r>
      <w:r>
        <w:rPr>
          <w:rFonts w:hint="eastAsia"/>
        </w:rPr>
        <w:t>デカルトはこの後、すぐに思考に「夢」を包含した→論理性、正常性のみを認める思考ではなく、荒唐無稽で不合理な「夢」もその思考に含め、懐疑の対象を拡大した（デリダ</w:t>
      </w:r>
      <w:r>
        <w:rPr>
          <w:rFonts w:hint="eastAsia"/>
        </w:rPr>
        <w:t>vs</w:t>
      </w:r>
      <w:r>
        <w:rPr>
          <w:rFonts w:hint="eastAsia"/>
        </w:rPr>
        <w:t>フーコーの論争）。</w:t>
      </w:r>
      <w:r>
        <w:br/>
      </w:r>
      <w:r w:rsidR="00D74FC5">
        <w:rPr>
          <w:rFonts w:hint="eastAsia"/>
        </w:rPr>
        <w:t>「私は思う」と私は思う　→</w:t>
      </w:r>
      <w:r w:rsidR="00D74FC5">
        <w:rPr>
          <w:rFonts w:hint="eastAsia"/>
        </w:rPr>
        <w:t xml:space="preserve"> </w:t>
      </w:r>
      <w:r w:rsidR="00D74FC5">
        <w:rPr>
          <w:rFonts w:hint="eastAsia"/>
        </w:rPr>
        <w:t>思うこと自体の自明性が疑われる→</w:t>
      </w:r>
      <w:r w:rsidR="00D74FC5">
        <w:rPr>
          <w:rFonts w:hint="eastAsia"/>
        </w:rPr>
        <w:t xml:space="preserve"> </w:t>
      </w:r>
      <w:r w:rsidR="00D74FC5">
        <w:t xml:space="preserve">Post Modernism, Marx and Freud, Analytical Philosophy, </w:t>
      </w:r>
      <w:r w:rsidR="00D74FC5">
        <w:rPr>
          <w:rFonts w:hint="eastAsia"/>
        </w:rPr>
        <w:t>問題のある出発点。</w:t>
      </w:r>
      <w:r w:rsidR="00D74FC5">
        <w:br/>
      </w:r>
      <w:r w:rsidR="00D74FC5">
        <w:rPr>
          <w:rFonts w:hint="eastAsia"/>
        </w:rPr>
        <w:t>スピノザは、一度も</w:t>
      </w:r>
      <w:r w:rsidR="00664A4B">
        <w:rPr>
          <w:rFonts w:hint="eastAsia"/>
        </w:rPr>
        <w:t>私は思うとは言っていない。</w:t>
      </w:r>
    </w:p>
    <w:p w:rsidR="007F6B94" w:rsidRDefault="00664A4B" w:rsidP="007F6B94">
      <w:pPr>
        <w:pStyle w:val="ListParagraph"/>
        <w:numPr>
          <w:ilvl w:val="0"/>
          <w:numId w:val="2"/>
        </w:numPr>
        <w:rPr>
          <w:rFonts w:hint="eastAsia"/>
        </w:rPr>
      </w:pPr>
      <w:r>
        <w:rPr>
          <w:rFonts w:hint="eastAsia"/>
        </w:rPr>
        <w:t xml:space="preserve">心身、延長と精神　</w:t>
      </w:r>
      <w:r>
        <w:br/>
      </w:r>
      <w:r>
        <w:rPr>
          <w:rFonts w:hint="eastAsia"/>
        </w:rPr>
        <w:t>延長</w:t>
      </w:r>
      <w:r>
        <w:t xml:space="preserve"> – </w:t>
      </w:r>
      <w:r>
        <w:rPr>
          <w:rFonts w:hint="eastAsia"/>
        </w:rPr>
        <w:t>力と関係する、空間的な性質。３次元的。ライプニッツの多元論。</w:t>
      </w:r>
      <w:r>
        <w:rPr>
          <w:rFonts w:hint="eastAsia"/>
        </w:rPr>
        <w:br/>
      </w:r>
      <w:r>
        <w:rPr>
          <w:rFonts w:hint="eastAsia"/>
        </w:rPr>
        <w:t>精神</w:t>
      </w:r>
      <w:r>
        <w:t xml:space="preserve"> – </w:t>
      </w:r>
      <w:r>
        <w:rPr>
          <w:rFonts w:hint="eastAsia"/>
        </w:rPr>
        <w:t>メタフィジカルな領域に属する。</w:t>
      </w:r>
      <w:r>
        <w:br/>
      </w:r>
      <w:r>
        <w:rPr>
          <w:rFonts w:hint="eastAsia"/>
        </w:rPr>
        <w:t>情念</w:t>
      </w:r>
      <w:r>
        <w:t xml:space="preserve"> – </w:t>
      </w:r>
      <w:r>
        <w:rPr>
          <w:rFonts w:hint="eastAsia"/>
        </w:rPr>
        <w:t>魂に起因するが、身体的な、空間的な発現を行う→</w:t>
      </w:r>
      <w:r>
        <w:rPr>
          <w:rFonts w:hint="eastAsia"/>
        </w:rPr>
        <w:t xml:space="preserve"> </w:t>
      </w:r>
      <w:r>
        <w:rPr>
          <w:rFonts w:hint="eastAsia"/>
        </w:rPr>
        <w:t>精神と延長をつなげる。松果腺がそうではないか？　池谷祐二「単純な脳、複雑な『私』」、</w:t>
      </w:r>
      <w:r>
        <w:t xml:space="preserve">Other Minds </w:t>
      </w:r>
      <w:r>
        <w:br/>
        <w:t xml:space="preserve">Derrida and technology </w:t>
      </w:r>
      <w:r w:rsidR="007F6B94">
        <w:t>–</w:t>
      </w:r>
      <w:r>
        <w:t xml:space="preserve"> </w:t>
      </w:r>
      <w:r w:rsidR="007F6B94">
        <w:rPr>
          <w:rFonts w:hint="eastAsia"/>
        </w:rPr>
        <w:t>ゴーレム、人造人間</w:t>
      </w:r>
      <w:r w:rsidR="007F6B94">
        <w:t xml:space="preserve"> matter made from nothing. </w:t>
      </w:r>
      <w:r w:rsidR="007F6B94">
        <w:rPr>
          <w:rFonts w:hint="eastAsia"/>
        </w:rPr>
        <w:t>ファウスト博士、ゴーレムは、人間が神の技を模倣する、</w:t>
      </w:r>
      <w:r w:rsidR="007F6B94">
        <w:t>ex-nihilo</w:t>
      </w:r>
      <w:r w:rsidR="007F6B94">
        <w:rPr>
          <w:rFonts w:hint="eastAsia"/>
        </w:rPr>
        <w:t xml:space="preserve"> </w:t>
      </w:r>
      <w:r w:rsidR="007F6B94">
        <w:rPr>
          <w:rFonts w:hint="eastAsia"/>
        </w:rPr>
        <w:t>を考察するための材料となった。</w:t>
      </w:r>
      <w:r w:rsidR="007F6B94">
        <w:t xml:space="preserve">How can we tell humans and automatons apart? </w:t>
      </w:r>
      <w:r w:rsidR="007F6B94">
        <w:rPr>
          <w:rFonts w:hint="eastAsia"/>
        </w:rPr>
        <w:t>人間機械論、デカルトからラメトリ。人間は、細部まで神が作ったマシンであり、生物とマシンは</w:t>
      </w:r>
      <w:r w:rsidR="007F6B94">
        <w:t xml:space="preserve">antinomy </w:t>
      </w:r>
      <w:r w:rsidR="007F6B94">
        <w:rPr>
          <w:rFonts w:hint="eastAsia"/>
        </w:rPr>
        <w:t>ではない。→</w:t>
      </w:r>
      <w:r w:rsidR="007F6B94">
        <w:rPr>
          <w:rFonts w:hint="eastAsia"/>
        </w:rPr>
        <w:t xml:space="preserve"> </w:t>
      </w:r>
      <w:r w:rsidR="007F6B94">
        <w:t xml:space="preserve">Deleuze and </w:t>
      </w:r>
      <w:proofErr w:type="spellStart"/>
      <w:r w:rsidR="007F6B94">
        <w:t>Guattari</w:t>
      </w:r>
      <w:proofErr w:type="spellEnd"/>
      <w:r w:rsidR="007F6B94">
        <w:t xml:space="preserve"> </w:t>
      </w:r>
      <w:r w:rsidR="007F6B94">
        <w:rPr>
          <w:rFonts w:hint="eastAsia"/>
        </w:rPr>
        <w:t>石黒浩</w:t>
      </w:r>
      <w:r w:rsidR="007F6B94">
        <w:br/>
      </w:r>
      <w:r w:rsidR="007F6B94">
        <w:rPr>
          <w:rFonts w:hint="eastAsia"/>
        </w:rPr>
        <w:t>人間は、恒常性と</w:t>
      </w:r>
      <w:r w:rsidR="008159F2">
        <w:rPr>
          <w:rFonts w:hint="eastAsia"/>
        </w:rPr>
        <w:t>外界に対する対処と順応が人間を形作る。身体に対する反応の総体を心として、内在的なものととるのか。</w:t>
      </w:r>
      <w:r w:rsidR="008159F2">
        <w:t xml:space="preserve"> What makes a human a human, and a soul a soul. Alter ego </w:t>
      </w:r>
      <w:bookmarkStart w:id="0" w:name="_GoBack"/>
      <w:bookmarkEnd w:id="0"/>
      <w:r w:rsidR="007F6B94">
        <w:rPr>
          <w:rFonts w:hint="eastAsia"/>
        </w:rPr>
        <w:br/>
      </w:r>
      <w:r w:rsidR="007F6B94">
        <w:rPr>
          <w:rFonts w:hint="eastAsia"/>
        </w:rPr>
        <w:br/>
      </w:r>
    </w:p>
    <w:sectPr w:rsidR="007F6B94"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792"/>
    <w:multiLevelType w:val="hybridMultilevel"/>
    <w:tmpl w:val="8D9E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A0F12"/>
    <w:multiLevelType w:val="hybridMultilevel"/>
    <w:tmpl w:val="8D9E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15"/>
    <w:rsid w:val="00106D11"/>
    <w:rsid w:val="00595F67"/>
    <w:rsid w:val="00664A4B"/>
    <w:rsid w:val="007F6B94"/>
    <w:rsid w:val="008159F2"/>
    <w:rsid w:val="00AA4A9C"/>
    <w:rsid w:val="00CB7315"/>
    <w:rsid w:val="00D74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433DEE"/>
  <w15:chartTrackingRefBased/>
  <w15:docId w15:val="{F295A19E-8A7B-0C44-9311-0356C550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2019-05-16T07:32:00Z</dcterms:created>
  <dcterms:modified xsi:type="dcterms:W3CDTF">2019-05-16T09:00:00Z</dcterms:modified>
</cp:coreProperties>
</file>