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731CBD" w14:textId="24661664" w:rsidR="00217DE1" w:rsidRDefault="0005789A">
      <w:r>
        <w:t xml:space="preserve">Game 2 </w:t>
      </w:r>
    </w:p>
    <w:p w14:paraId="7B75CF85" w14:textId="71A70F4F" w:rsidR="0005789A" w:rsidRDefault="0005789A"/>
    <w:p w14:paraId="7094E812" w14:textId="73CB7A9A" w:rsidR="0005789A" w:rsidRDefault="0005789A">
      <w:r>
        <w:rPr>
          <w:rFonts w:hint="eastAsia"/>
        </w:rPr>
        <w:t xml:space="preserve">３章　</w:t>
      </w:r>
      <w:proofErr w:type="spellStart"/>
      <w:r>
        <w:rPr>
          <w:rFonts w:hint="eastAsia"/>
        </w:rPr>
        <w:t>戦略ゲーム</w:t>
      </w:r>
      <w:proofErr w:type="spellEnd"/>
    </w:p>
    <w:p w14:paraId="602B5211" w14:textId="77777777" w:rsidR="0005789A" w:rsidRDefault="0005789A">
      <w:pPr>
        <w:rPr>
          <w:rFonts w:hint="eastAsia"/>
        </w:rPr>
      </w:pPr>
    </w:p>
    <w:p w14:paraId="2050AEBB" w14:textId="60A30B20" w:rsidR="0005789A" w:rsidRDefault="0005789A" w:rsidP="0005789A">
      <w:pPr>
        <w:pStyle w:val="ListParagraph"/>
        <w:numPr>
          <w:ilvl w:val="0"/>
          <w:numId w:val="1"/>
        </w:numPr>
      </w:pPr>
      <w:r w:rsidRPr="0005789A">
        <w:rPr>
          <w:rFonts w:hint="eastAsia"/>
          <w:color w:val="FF0000"/>
        </w:rPr>
        <w:t>戦略形</w:t>
      </w:r>
      <w:r>
        <w:rPr>
          <w:rFonts w:hint="eastAsia"/>
        </w:rPr>
        <w:t>は、“ゲーム”の主な二つの表記法のうちの一つ（もう一つは、</w:t>
      </w:r>
      <w:r w:rsidRPr="0005789A">
        <w:rPr>
          <w:rFonts w:hint="eastAsia"/>
          <w:color w:val="FF0000"/>
        </w:rPr>
        <w:t>展開形</w:t>
      </w:r>
      <w:r>
        <w:rPr>
          <w:rFonts w:hint="eastAsia"/>
        </w:rPr>
        <w:t>）</w:t>
      </w:r>
    </w:p>
    <w:p w14:paraId="69EEB984" w14:textId="77777777" w:rsidR="0005789A" w:rsidRDefault="0005789A" w:rsidP="0005789A">
      <w:pPr>
        <w:rPr>
          <w:rFonts w:hint="eastAsia"/>
        </w:rPr>
      </w:pPr>
    </w:p>
    <w:p w14:paraId="23BC2E41" w14:textId="01E73FC2" w:rsidR="0005789A" w:rsidRPr="0005789A" w:rsidRDefault="0005789A" w:rsidP="0005789A">
      <w:pPr>
        <w:rPr>
          <w:u w:val="single"/>
        </w:rPr>
      </w:pPr>
      <w:proofErr w:type="spellStart"/>
      <w:r w:rsidRPr="0005789A">
        <w:rPr>
          <w:rFonts w:hint="eastAsia"/>
          <w:u w:val="single"/>
        </w:rPr>
        <w:t>戦略型の三つの要素</w:t>
      </w:r>
      <w:proofErr w:type="spellEnd"/>
    </w:p>
    <w:p w14:paraId="1B312412" w14:textId="379C02DE" w:rsidR="0005789A" w:rsidRPr="0005789A" w:rsidRDefault="0005789A" w:rsidP="0005789A">
      <w:pPr>
        <w:pStyle w:val="ListParagraph"/>
        <w:numPr>
          <w:ilvl w:val="0"/>
          <w:numId w:val="1"/>
        </w:numPr>
      </w:pPr>
      <w:r>
        <w:rPr>
          <w:rFonts w:hint="eastAsia"/>
          <w:color w:val="000000" w:themeColor="text1"/>
        </w:rPr>
        <w:t>プレイヤー（集合）</w:t>
      </w:r>
    </w:p>
    <w:p w14:paraId="7726D99C" w14:textId="023CB06D" w:rsidR="0005789A" w:rsidRPr="0005789A" w:rsidRDefault="0005789A" w:rsidP="0005789A">
      <w:pPr>
        <w:pStyle w:val="ListParagraph"/>
        <w:numPr>
          <w:ilvl w:val="0"/>
          <w:numId w:val="1"/>
        </w:numPr>
      </w:pPr>
      <w:r>
        <w:rPr>
          <w:rFonts w:hint="eastAsia"/>
          <w:color w:val="000000" w:themeColor="text1"/>
        </w:rPr>
        <w:t>戦略（集合）</w:t>
      </w:r>
    </w:p>
    <w:p w14:paraId="272DF6B2" w14:textId="4158CD9D" w:rsidR="0005789A" w:rsidRPr="0005789A" w:rsidRDefault="0005789A" w:rsidP="0005789A">
      <w:pPr>
        <w:pStyle w:val="ListParagraph"/>
        <w:numPr>
          <w:ilvl w:val="0"/>
          <w:numId w:val="1"/>
        </w:numPr>
      </w:pPr>
      <w:r>
        <w:rPr>
          <w:rFonts w:hint="eastAsia"/>
          <w:color w:val="000000" w:themeColor="text1"/>
        </w:rPr>
        <w:t>利得（関数）</w:t>
      </w:r>
      <w:r>
        <w:rPr>
          <w:color w:val="000000" w:themeColor="text1"/>
        </w:rPr>
        <w:br/>
      </w:r>
      <w:r>
        <w:rPr>
          <w:rFonts w:hint="eastAsia"/>
          <w:color w:val="000000" w:themeColor="text1"/>
        </w:rPr>
        <w:t>→</w:t>
      </w:r>
      <w:r>
        <w:rPr>
          <w:rFonts w:hint="eastAsia"/>
          <w:color w:val="000000" w:themeColor="text1"/>
        </w:rPr>
        <w:t xml:space="preserve"> </w:t>
      </w:r>
      <w:r w:rsidRPr="0005789A">
        <w:rPr>
          <w:rFonts w:hint="eastAsia"/>
          <w:color w:val="FF0000"/>
        </w:rPr>
        <w:t>単純な場合は利得行列で表現</w:t>
      </w:r>
    </w:p>
    <w:p w14:paraId="3B7DADB3" w14:textId="6C7CF337" w:rsidR="00831DD2" w:rsidRPr="00831DD2" w:rsidRDefault="00831DD2" w:rsidP="0005789A">
      <w:pPr>
        <w:rPr>
          <w:u w:val="single"/>
        </w:rPr>
      </w:pPr>
      <w:proofErr w:type="spellStart"/>
      <w:r w:rsidRPr="00831DD2">
        <w:rPr>
          <w:rFonts w:hint="eastAsia"/>
          <w:u w:val="single"/>
        </w:rPr>
        <w:t>ゲームの諸類型</w:t>
      </w:r>
      <w:proofErr w:type="spellEnd"/>
    </w:p>
    <w:p w14:paraId="182ED5C4" w14:textId="13E9D65F" w:rsidR="00831DD2" w:rsidRDefault="00831DD2" w:rsidP="00831DD2">
      <w:pPr>
        <w:pStyle w:val="ListParagraph"/>
        <w:numPr>
          <w:ilvl w:val="0"/>
          <w:numId w:val="3"/>
        </w:numPr>
      </w:pPr>
      <w:r w:rsidRPr="00831DD2">
        <w:rPr>
          <w:rFonts w:hint="eastAsia"/>
          <w:color w:val="FF0000"/>
        </w:rPr>
        <w:t>ゼロ和</w:t>
      </w:r>
      <w:r>
        <w:rPr>
          <w:rFonts w:hint="eastAsia"/>
        </w:rPr>
        <w:t>2</w:t>
      </w:r>
      <w:r>
        <w:rPr>
          <w:rFonts w:hint="eastAsia"/>
        </w:rPr>
        <w:t>人ゲームと</w:t>
      </w:r>
      <w:r w:rsidRPr="00831DD2">
        <w:rPr>
          <w:rFonts w:hint="eastAsia"/>
          <w:color w:val="4472C4" w:themeColor="accent1"/>
        </w:rPr>
        <w:t>非ゼロ和</w:t>
      </w:r>
      <w:r>
        <w:rPr>
          <w:rFonts w:hint="eastAsia"/>
        </w:rPr>
        <w:t>ゲーム</w:t>
      </w:r>
    </w:p>
    <w:p w14:paraId="0CD1B782" w14:textId="0249555D" w:rsidR="00831DD2" w:rsidRDefault="00831DD2" w:rsidP="00831DD2">
      <w:pPr>
        <w:pStyle w:val="ListParagraph"/>
        <w:numPr>
          <w:ilvl w:val="1"/>
          <w:numId w:val="3"/>
        </w:numPr>
      </w:pPr>
      <w:r>
        <w:rPr>
          <w:rFonts w:hint="eastAsia"/>
        </w:rPr>
        <w:t>プレーヤーの利得の合計０もしくは一定の場合は</w:t>
      </w:r>
      <w:r w:rsidRPr="00831DD2">
        <w:rPr>
          <w:rFonts w:hint="eastAsia"/>
          <w:color w:val="FF0000"/>
        </w:rPr>
        <w:t>ゼミ和（定和）</w:t>
      </w:r>
      <w:r>
        <w:rPr>
          <w:rFonts w:hint="eastAsia"/>
        </w:rPr>
        <w:t>ゲーム、一定でなければ</w:t>
      </w:r>
      <w:r w:rsidRPr="00831DD2">
        <w:rPr>
          <w:rFonts w:hint="eastAsia"/>
          <w:color w:val="4472C4" w:themeColor="accent1"/>
        </w:rPr>
        <w:t>非ゼロ和</w:t>
      </w:r>
      <w:r>
        <w:rPr>
          <w:rFonts w:hint="eastAsia"/>
        </w:rPr>
        <w:t>ゲーム</w:t>
      </w:r>
    </w:p>
    <w:p w14:paraId="525C94AB" w14:textId="27DF44CF" w:rsidR="00831DD2" w:rsidRDefault="00831DD2" w:rsidP="00831DD2">
      <w:pPr>
        <w:pStyle w:val="ListParagraph"/>
        <w:numPr>
          <w:ilvl w:val="0"/>
          <w:numId w:val="3"/>
        </w:numPr>
      </w:pPr>
      <w:r w:rsidRPr="00831DD2">
        <w:rPr>
          <w:rFonts w:hint="eastAsia"/>
          <w:color w:val="FF0000"/>
        </w:rPr>
        <w:t>同時手番</w:t>
      </w:r>
      <w:r>
        <w:rPr>
          <w:rFonts w:hint="eastAsia"/>
        </w:rPr>
        <w:t>ゲームと</w:t>
      </w:r>
      <w:r w:rsidRPr="00831DD2">
        <w:rPr>
          <w:rFonts w:hint="eastAsia"/>
          <w:color w:val="4472C4" w:themeColor="accent1"/>
        </w:rPr>
        <w:t>逐次的手番</w:t>
      </w:r>
      <w:r>
        <w:rPr>
          <w:rFonts w:hint="eastAsia"/>
        </w:rPr>
        <w:t>ゲーム</w:t>
      </w:r>
    </w:p>
    <w:p w14:paraId="3B5F754B" w14:textId="76E32440" w:rsidR="00831DD2" w:rsidRDefault="00831DD2" w:rsidP="00831DD2">
      <w:pPr>
        <w:pStyle w:val="ListParagraph"/>
        <w:numPr>
          <w:ilvl w:val="1"/>
          <w:numId w:val="3"/>
        </w:numPr>
      </w:pPr>
      <w:r>
        <w:rPr>
          <w:rFonts w:hint="eastAsia"/>
        </w:rPr>
        <w:t>戦略決定が同時ないし同時とみなせるゲームは</w:t>
      </w:r>
      <w:r w:rsidRPr="00831DD2">
        <w:rPr>
          <w:rFonts w:hint="eastAsia"/>
          <w:color w:val="FF0000"/>
        </w:rPr>
        <w:t>同時手番</w:t>
      </w:r>
      <w:r>
        <w:rPr>
          <w:rFonts w:hint="eastAsia"/>
        </w:rPr>
        <w:t>、あるプレーヤーが先に戦略を決めて、それを観察してから他のプレーヤーが戦略を決めるゲームを</w:t>
      </w:r>
      <w:r w:rsidRPr="00831DD2">
        <w:rPr>
          <w:rFonts w:hint="eastAsia"/>
          <w:color w:val="4472C4" w:themeColor="accent1"/>
        </w:rPr>
        <w:t>逐次手番</w:t>
      </w:r>
      <w:r>
        <w:rPr>
          <w:rFonts w:hint="eastAsia"/>
        </w:rPr>
        <w:t>という。</w:t>
      </w:r>
    </w:p>
    <w:p w14:paraId="02F2A131" w14:textId="4556A338" w:rsidR="00831DD2" w:rsidRDefault="00831DD2" w:rsidP="00831DD2">
      <w:pPr>
        <w:rPr>
          <w:u w:val="single"/>
        </w:rPr>
      </w:pPr>
      <w:proofErr w:type="spellStart"/>
      <w:r w:rsidRPr="00831DD2">
        <w:rPr>
          <w:rFonts w:hint="eastAsia"/>
          <w:u w:val="single"/>
        </w:rPr>
        <w:t>通行ルールの選択（協調ゲーム</w:t>
      </w:r>
      <w:proofErr w:type="spellEnd"/>
      <w:r w:rsidRPr="00831DD2">
        <w:rPr>
          <w:rFonts w:hint="eastAsia"/>
          <w:u w:val="single"/>
        </w:rPr>
        <w:t>）</w:t>
      </w:r>
    </w:p>
    <w:tbl>
      <w:tblPr>
        <w:tblStyle w:val="TableGrid"/>
        <w:tblW w:w="0" w:type="auto"/>
        <w:tblInd w:w="720" w:type="dxa"/>
        <w:tblLook w:val="04A0" w:firstRow="1" w:lastRow="0" w:firstColumn="1" w:lastColumn="0" w:noHBand="0" w:noVBand="1"/>
      </w:tblPr>
      <w:tblGrid>
        <w:gridCol w:w="2784"/>
        <w:gridCol w:w="2745"/>
        <w:gridCol w:w="2761"/>
      </w:tblGrid>
      <w:tr w:rsidR="00831DD2" w14:paraId="4825AEB0" w14:textId="77777777" w:rsidTr="00831DD2">
        <w:tc>
          <w:tcPr>
            <w:tcW w:w="3003" w:type="dxa"/>
          </w:tcPr>
          <w:p w14:paraId="367CEDF6" w14:textId="47972A9D" w:rsidR="00831DD2" w:rsidRDefault="00831DD2" w:rsidP="00831DD2">
            <w:pPr>
              <w:pStyle w:val="ListParagraph"/>
              <w:ind w:left="0"/>
              <w:rPr>
                <w:rFonts w:hint="eastAsia"/>
              </w:rPr>
            </w:pPr>
            <w:r>
              <w:t xml:space="preserve">You/ Opponent </w:t>
            </w:r>
          </w:p>
        </w:tc>
        <w:tc>
          <w:tcPr>
            <w:tcW w:w="3003" w:type="dxa"/>
          </w:tcPr>
          <w:p w14:paraId="71C1BAED" w14:textId="6D5C0758" w:rsidR="00831DD2" w:rsidRDefault="00831DD2" w:rsidP="00831DD2">
            <w:pPr>
              <w:pStyle w:val="ListParagraph"/>
              <w:ind w:left="0"/>
              <w:rPr>
                <w:rFonts w:hint="eastAsia"/>
              </w:rPr>
            </w:pPr>
            <w:r>
              <w:t>Left</w:t>
            </w:r>
          </w:p>
        </w:tc>
        <w:tc>
          <w:tcPr>
            <w:tcW w:w="3004" w:type="dxa"/>
          </w:tcPr>
          <w:p w14:paraId="302CF7A8" w14:textId="2540BB96" w:rsidR="00831DD2" w:rsidRDefault="00831DD2" w:rsidP="00831DD2">
            <w:pPr>
              <w:pStyle w:val="ListParagraph"/>
              <w:ind w:left="0"/>
              <w:rPr>
                <w:rFonts w:hint="eastAsia"/>
              </w:rPr>
            </w:pPr>
            <w:r>
              <w:t>Right</w:t>
            </w:r>
          </w:p>
        </w:tc>
      </w:tr>
      <w:tr w:rsidR="00831DD2" w14:paraId="2AB0F04C" w14:textId="77777777" w:rsidTr="00831DD2">
        <w:tc>
          <w:tcPr>
            <w:tcW w:w="3003" w:type="dxa"/>
          </w:tcPr>
          <w:p w14:paraId="68AB7ACA" w14:textId="46431674" w:rsidR="00831DD2" w:rsidRDefault="00831DD2" w:rsidP="00831DD2">
            <w:pPr>
              <w:pStyle w:val="ListParagraph"/>
              <w:ind w:left="0"/>
            </w:pPr>
            <w:r>
              <w:t>Left</w:t>
            </w:r>
          </w:p>
        </w:tc>
        <w:tc>
          <w:tcPr>
            <w:tcW w:w="3003" w:type="dxa"/>
          </w:tcPr>
          <w:p w14:paraId="159283F5" w14:textId="67DE10A5" w:rsidR="00831DD2" w:rsidRDefault="00831DD2" w:rsidP="00831DD2">
            <w:pPr>
              <w:pStyle w:val="ListParagraph"/>
              <w:ind w:left="0"/>
              <w:rPr>
                <w:rFonts w:hint="eastAsia"/>
              </w:rPr>
            </w:pPr>
            <w:r>
              <w:t>1/1</w:t>
            </w:r>
          </w:p>
        </w:tc>
        <w:tc>
          <w:tcPr>
            <w:tcW w:w="3004" w:type="dxa"/>
          </w:tcPr>
          <w:p w14:paraId="30DD090C" w14:textId="7B65F584" w:rsidR="00831DD2" w:rsidRDefault="00831DD2" w:rsidP="00831DD2">
            <w:pPr>
              <w:pStyle w:val="ListParagraph"/>
              <w:ind w:left="0"/>
              <w:rPr>
                <w:rFonts w:hint="eastAsia"/>
              </w:rPr>
            </w:pPr>
            <w:r>
              <w:t>-2/-2(crash)</w:t>
            </w:r>
          </w:p>
        </w:tc>
      </w:tr>
      <w:tr w:rsidR="00831DD2" w14:paraId="33FF0D6D" w14:textId="77777777" w:rsidTr="00831DD2">
        <w:tc>
          <w:tcPr>
            <w:tcW w:w="3003" w:type="dxa"/>
          </w:tcPr>
          <w:p w14:paraId="60FF4C67" w14:textId="46744F7D" w:rsidR="00831DD2" w:rsidRDefault="00831DD2" w:rsidP="00831DD2">
            <w:pPr>
              <w:pStyle w:val="ListParagraph"/>
              <w:ind w:left="0"/>
              <w:rPr>
                <w:rFonts w:hint="eastAsia"/>
              </w:rPr>
            </w:pPr>
            <w:r>
              <w:t>Right</w:t>
            </w:r>
          </w:p>
        </w:tc>
        <w:tc>
          <w:tcPr>
            <w:tcW w:w="3003" w:type="dxa"/>
          </w:tcPr>
          <w:p w14:paraId="3D22FF7B" w14:textId="04204CE7" w:rsidR="00831DD2" w:rsidRDefault="00831DD2" w:rsidP="00831DD2">
            <w:pPr>
              <w:pStyle w:val="ListParagraph"/>
              <w:ind w:left="0"/>
              <w:rPr>
                <w:rFonts w:hint="eastAsia"/>
              </w:rPr>
            </w:pPr>
            <w:r>
              <w:t>-2/-2 (crash)</w:t>
            </w:r>
          </w:p>
        </w:tc>
        <w:tc>
          <w:tcPr>
            <w:tcW w:w="3004" w:type="dxa"/>
          </w:tcPr>
          <w:p w14:paraId="02AFF963" w14:textId="60471E23" w:rsidR="00831DD2" w:rsidRDefault="00831DD2" w:rsidP="00831DD2">
            <w:pPr>
              <w:pStyle w:val="ListParagraph"/>
              <w:ind w:left="0"/>
              <w:rPr>
                <w:rFonts w:hint="eastAsia"/>
              </w:rPr>
            </w:pPr>
            <w:r>
              <w:t>1/1</w:t>
            </w:r>
          </w:p>
        </w:tc>
      </w:tr>
    </w:tbl>
    <w:p w14:paraId="27C06E4B" w14:textId="68814751" w:rsidR="00831DD2" w:rsidRDefault="00831DD2" w:rsidP="00831DD2">
      <w:pPr>
        <w:pStyle w:val="ListParagraph"/>
      </w:pPr>
      <w:r>
        <w:t xml:space="preserve">If both strategies match, the coordination of strategies does not affect the utility outcome. </w:t>
      </w:r>
    </w:p>
    <w:p w14:paraId="1CD0ED49" w14:textId="2228CF8D" w:rsidR="00831DD2" w:rsidRPr="00831DD2" w:rsidRDefault="00831DD2" w:rsidP="00831DD2">
      <w:pPr>
        <w:rPr>
          <w:u w:val="single"/>
        </w:rPr>
      </w:pPr>
      <w:proofErr w:type="spellStart"/>
      <w:r w:rsidRPr="00831DD2">
        <w:rPr>
          <w:rFonts w:hint="eastAsia"/>
          <w:u w:val="single"/>
        </w:rPr>
        <w:t>男性と女性の争い</w:t>
      </w:r>
      <w:proofErr w:type="spellEnd"/>
    </w:p>
    <w:tbl>
      <w:tblPr>
        <w:tblStyle w:val="TableGrid"/>
        <w:tblW w:w="0" w:type="auto"/>
        <w:tblInd w:w="720" w:type="dxa"/>
        <w:tblLook w:val="04A0" w:firstRow="1" w:lastRow="0" w:firstColumn="1" w:lastColumn="0" w:noHBand="0" w:noVBand="1"/>
      </w:tblPr>
      <w:tblGrid>
        <w:gridCol w:w="2810"/>
        <w:gridCol w:w="2721"/>
        <w:gridCol w:w="2759"/>
      </w:tblGrid>
      <w:tr w:rsidR="00831DD2" w14:paraId="075DE4E3" w14:textId="77777777" w:rsidTr="00831DD2">
        <w:tc>
          <w:tcPr>
            <w:tcW w:w="3003" w:type="dxa"/>
          </w:tcPr>
          <w:p w14:paraId="38152471" w14:textId="06CD5CC0" w:rsidR="00831DD2" w:rsidRDefault="00831DD2" w:rsidP="00831DD2">
            <w:pPr>
              <w:pStyle w:val="ListParagraph"/>
              <w:ind w:left="0"/>
            </w:pPr>
            <w:r>
              <w:t>Man/Woman</w:t>
            </w:r>
          </w:p>
        </w:tc>
        <w:tc>
          <w:tcPr>
            <w:tcW w:w="3003" w:type="dxa"/>
          </w:tcPr>
          <w:p w14:paraId="1E23CE82" w14:textId="54D53844" w:rsidR="00831DD2" w:rsidRDefault="00831DD2" w:rsidP="00831DD2">
            <w:pPr>
              <w:pStyle w:val="ListParagraph"/>
              <w:ind w:left="0"/>
              <w:rPr>
                <w:rFonts w:hint="eastAsia"/>
              </w:rPr>
            </w:pPr>
            <w:r>
              <w:t>Action</w:t>
            </w:r>
          </w:p>
        </w:tc>
        <w:tc>
          <w:tcPr>
            <w:tcW w:w="3004" w:type="dxa"/>
          </w:tcPr>
          <w:p w14:paraId="5EB60154" w14:textId="5384D985" w:rsidR="00831DD2" w:rsidRDefault="00831DD2" w:rsidP="00831DD2">
            <w:pPr>
              <w:pStyle w:val="ListParagraph"/>
              <w:ind w:left="0"/>
              <w:rPr>
                <w:rFonts w:hint="eastAsia"/>
              </w:rPr>
            </w:pPr>
            <w:r>
              <w:t>Romance</w:t>
            </w:r>
          </w:p>
        </w:tc>
      </w:tr>
      <w:tr w:rsidR="00831DD2" w14:paraId="63B0BCDB" w14:textId="77777777" w:rsidTr="00831DD2">
        <w:tc>
          <w:tcPr>
            <w:tcW w:w="3003" w:type="dxa"/>
          </w:tcPr>
          <w:p w14:paraId="3822851F" w14:textId="6FD2BC04" w:rsidR="00831DD2" w:rsidRDefault="00831DD2" w:rsidP="00831DD2">
            <w:pPr>
              <w:pStyle w:val="ListParagraph"/>
              <w:ind w:left="0"/>
              <w:rPr>
                <w:rFonts w:hint="eastAsia"/>
              </w:rPr>
            </w:pPr>
            <w:r>
              <w:t>Action</w:t>
            </w:r>
          </w:p>
        </w:tc>
        <w:tc>
          <w:tcPr>
            <w:tcW w:w="3003" w:type="dxa"/>
          </w:tcPr>
          <w:p w14:paraId="1F59D9FE" w14:textId="1E5D14BD" w:rsidR="00831DD2" w:rsidRDefault="00831DD2" w:rsidP="00831DD2">
            <w:pPr>
              <w:pStyle w:val="ListParagraph"/>
              <w:ind w:left="0"/>
              <w:rPr>
                <w:rFonts w:hint="eastAsia"/>
              </w:rPr>
            </w:pPr>
            <w:r>
              <w:t>2/1</w:t>
            </w:r>
          </w:p>
        </w:tc>
        <w:tc>
          <w:tcPr>
            <w:tcW w:w="3004" w:type="dxa"/>
          </w:tcPr>
          <w:p w14:paraId="550CB60C" w14:textId="087DEF66" w:rsidR="00831DD2" w:rsidRDefault="00831DD2" w:rsidP="00831DD2">
            <w:pPr>
              <w:pStyle w:val="ListParagraph"/>
              <w:ind w:left="0"/>
              <w:rPr>
                <w:rFonts w:hint="eastAsia"/>
              </w:rPr>
            </w:pPr>
            <w:r>
              <w:t>0/0</w:t>
            </w:r>
          </w:p>
        </w:tc>
      </w:tr>
      <w:tr w:rsidR="00831DD2" w14:paraId="00E28F2D" w14:textId="77777777" w:rsidTr="00831DD2">
        <w:tc>
          <w:tcPr>
            <w:tcW w:w="3003" w:type="dxa"/>
          </w:tcPr>
          <w:p w14:paraId="0E49F6E0" w14:textId="7795BEF4" w:rsidR="00831DD2" w:rsidRDefault="00831DD2" w:rsidP="00831DD2">
            <w:pPr>
              <w:pStyle w:val="ListParagraph"/>
              <w:ind w:left="0"/>
              <w:rPr>
                <w:rFonts w:hint="eastAsia"/>
              </w:rPr>
            </w:pPr>
            <w:r>
              <w:t>Romance</w:t>
            </w:r>
          </w:p>
        </w:tc>
        <w:tc>
          <w:tcPr>
            <w:tcW w:w="3003" w:type="dxa"/>
          </w:tcPr>
          <w:p w14:paraId="4690B6A2" w14:textId="2A6CE7C6" w:rsidR="00831DD2" w:rsidRDefault="00831DD2" w:rsidP="00831DD2">
            <w:pPr>
              <w:pStyle w:val="ListParagraph"/>
              <w:ind w:left="0"/>
              <w:rPr>
                <w:rFonts w:hint="eastAsia"/>
              </w:rPr>
            </w:pPr>
            <w:r>
              <w:t>0/0</w:t>
            </w:r>
          </w:p>
        </w:tc>
        <w:tc>
          <w:tcPr>
            <w:tcW w:w="3004" w:type="dxa"/>
          </w:tcPr>
          <w:p w14:paraId="38BB34BA" w14:textId="05F0E10C" w:rsidR="00831DD2" w:rsidRDefault="00831DD2" w:rsidP="00831DD2">
            <w:pPr>
              <w:pStyle w:val="ListParagraph"/>
              <w:ind w:left="0"/>
              <w:rPr>
                <w:rFonts w:hint="eastAsia"/>
              </w:rPr>
            </w:pPr>
            <w:r>
              <w:t>1/2</w:t>
            </w:r>
          </w:p>
        </w:tc>
      </w:tr>
    </w:tbl>
    <w:p w14:paraId="3A3202D5" w14:textId="55B749C6" w:rsidR="00A17E12" w:rsidRDefault="00831DD2" w:rsidP="00A17E12">
      <w:pPr>
        <w:pStyle w:val="ListParagraph"/>
      </w:pPr>
      <w:r>
        <w:t>Even when both strategies match, the coordination of strategies affects the utility of each player.</w:t>
      </w:r>
    </w:p>
    <w:p w14:paraId="73961C60" w14:textId="3976C541" w:rsidR="00A17E12" w:rsidRPr="00A17E12" w:rsidRDefault="00A17E12" w:rsidP="00A17E12">
      <w:pPr>
        <w:rPr>
          <w:rFonts w:hint="eastAsia"/>
          <w:u w:val="single"/>
        </w:rPr>
      </w:pPr>
      <w:proofErr w:type="spellStart"/>
      <w:r w:rsidRPr="00A17E12">
        <w:rPr>
          <w:rFonts w:hint="eastAsia"/>
          <w:u w:val="single"/>
        </w:rPr>
        <w:t>タカ</w:t>
      </w:r>
      <w:r w:rsidRPr="00A17E12">
        <w:rPr>
          <w:u w:val="single"/>
        </w:rPr>
        <w:t>-</w:t>
      </w:r>
      <w:r w:rsidRPr="00A17E12">
        <w:rPr>
          <w:rFonts w:hint="eastAsia"/>
          <w:u w:val="single"/>
        </w:rPr>
        <w:t>ハト・</w:t>
      </w:r>
      <w:commentRangeStart w:id="0"/>
      <w:r w:rsidRPr="00A17E12">
        <w:rPr>
          <w:rFonts w:hint="eastAsia"/>
          <w:u w:val="single"/>
        </w:rPr>
        <w:t>ゲーム</w:t>
      </w:r>
      <w:commentRangeEnd w:id="0"/>
      <w:proofErr w:type="spellEnd"/>
      <w:r>
        <w:rPr>
          <w:rStyle w:val="CommentReference"/>
        </w:rPr>
        <w:commentReference w:id="0"/>
      </w:r>
    </w:p>
    <w:p w14:paraId="378F9335" w14:textId="33846AA5" w:rsidR="00831DD2" w:rsidRDefault="00A17E12" w:rsidP="00A17E12">
      <w:r w:rsidRPr="00A17E12">
        <w:drawing>
          <wp:inline distT="0" distB="0" distL="0" distR="0" wp14:anchorId="4475B8FD" wp14:editId="58A27293">
            <wp:extent cx="3791164" cy="790575"/>
            <wp:effectExtent l="0" t="0" r="635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54639" cy="803811"/>
                    </a:xfrm>
                    <a:prstGeom prst="rect">
                      <a:avLst/>
                    </a:prstGeom>
                  </pic:spPr>
                </pic:pic>
              </a:graphicData>
            </a:graphic>
          </wp:inline>
        </w:drawing>
      </w:r>
    </w:p>
    <w:p w14:paraId="79FBFFAC" w14:textId="00F99BD5" w:rsidR="00A17E12" w:rsidRPr="00A17E12" w:rsidRDefault="00A17E12" w:rsidP="00A17E12">
      <w:pPr>
        <w:rPr>
          <w:rFonts w:ascii="MS Mincho" w:eastAsia="MS Mincho" w:hAnsi="MS Mincho" w:cs="MS Mincho"/>
          <w:sz w:val="32"/>
          <w:szCs w:val="32"/>
          <w:u w:val="single"/>
        </w:rPr>
      </w:pPr>
      <w:r w:rsidRPr="00A17E12">
        <w:rPr>
          <w:rFonts w:ascii="MS Mincho" w:eastAsia="MS Mincho" w:hAnsi="MS Mincho" w:cs="MS Mincho" w:hint="eastAsia"/>
          <w:sz w:val="32"/>
          <w:szCs w:val="32"/>
          <w:u w:val="single"/>
        </w:rPr>
        <w:t>確率的な戦略</w:t>
      </w:r>
    </w:p>
    <w:p w14:paraId="02DBF4D4" w14:textId="40C726D2" w:rsidR="00A17E12" w:rsidRDefault="00A17E12" w:rsidP="00A17E12">
      <w:pPr>
        <w:pStyle w:val="ListParagraph"/>
        <w:numPr>
          <w:ilvl w:val="0"/>
          <w:numId w:val="6"/>
        </w:numPr>
      </w:pPr>
      <w:r>
        <w:rPr>
          <w:rFonts w:hint="eastAsia"/>
        </w:rPr>
        <w:t>ある</w:t>
      </w:r>
      <w:r w:rsidRPr="00A17E12">
        <w:rPr>
          <w:rFonts w:hint="eastAsia"/>
          <w:color w:val="FF0000"/>
        </w:rPr>
        <w:t>確率分布に従って</w:t>
      </w:r>
      <w:r>
        <w:rPr>
          <w:rFonts w:hint="eastAsia"/>
        </w:rPr>
        <w:t>戦略を選ぶ「戦略」。この時、各プレーヤーが得る利得も確率的に決まる。</w:t>
      </w:r>
    </w:p>
    <w:p w14:paraId="44079B4D" w14:textId="6C913C70" w:rsidR="00A1685E" w:rsidRDefault="00A1685E" w:rsidP="00A1685E">
      <w:pPr>
        <w:pStyle w:val="ListParagraph"/>
        <w:numPr>
          <w:ilvl w:val="0"/>
          <w:numId w:val="6"/>
        </w:numPr>
      </w:pPr>
      <w:r>
        <w:rPr>
          <w:rFonts w:hint="eastAsia"/>
        </w:rPr>
        <w:t>ペナルティーキックゲーム</w:t>
      </w:r>
    </w:p>
    <w:p w14:paraId="491EA175" w14:textId="3E148969" w:rsidR="00A1685E" w:rsidRDefault="00A1685E" w:rsidP="00A1685E">
      <w:pPr>
        <w:pStyle w:val="ListParagraph"/>
        <w:numPr>
          <w:ilvl w:val="1"/>
          <w:numId w:val="6"/>
        </w:numPr>
        <w:rPr>
          <w:rFonts w:hint="eastAsia"/>
        </w:rPr>
      </w:pPr>
      <w:r w:rsidRPr="00A1685E">
        <w:lastRenderedPageBreak/>
        <w:drawing>
          <wp:inline distT="0" distB="0" distL="0" distR="0" wp14:anchorId="6580B455" wp14:editId="3AE0A6AA">
            <wp:extent cx="2670606" cy="657546"/>
            <wp:effectExtent l="0" t="0" r="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93004" cy="663061"/>
                    </a:xfrm>
                    <a:prstGeom prst="rect">
                      <a:avLst/>
                    </a:prstGeom>
                  </pic:spPr>
                </pic:pic>
              </a:graphicData>
            </a:graphic>
          </wp:inline>
        </w:drawing>
      </w:r>
      <w:r w:rsidRPr="00A1685E">
        <w:drawing>
          <wp:inline distT="0" distB="0" distL="0" distR="0" wp14:anchorId="59BDB46F" wp14:editId="5DBFDCCA">
            <wp:extent cx="2517169" cy="1871412"/>
            <wp:effectExtent l="0" t="0" r="0" b="0"/>
            <wp:docPr id="12" name="Picture 1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25700" cy="1877754"/>
                    </a:xfrm>
                    <a:prstGeom prst="rect">
                      <a:avLst/>
                    </a:prstGeom>
                  </pic:spPr>
                </pic:pic>
              </a:graphicData>
            </a:graphic>
          </wp:inline>
        </w:drawing>
      </w:r>
    </w:p>
    <w:p w14:paraId="120AA2DF" w14:textId="17F129A8" w:rsidR="00A17E12" w:rsidRDefault="00A17E12" w:rsidP="00A17E12"/>
    <w:p w14:paraId="0E0ECF53" w14:textId="346859F9" w:rsidR="00A1685E" w:rsidRPr="00A1685E" w:rsidRDefault="00A1685E" w:rsidP="00A17E12">
      <w:pPr>
        <w:rPr>
          <w:rFonts w:ascii="MS Mincho" w:eastAsia="MS Mincho" w:hAnsi="MS Mincho" w:cs="MS Mincho"/>
          <w:sz w:val="32"/>
          <w:szCs w:val="32"/>
          <w:u w:val="single"/>
        </w:rPr>
      </w:pPr>
      <w:r w:rsidRPr="00A1685E">
        <w:rPr>
          <w:rFonts w:ascii="MS Mincho" w:eastAsia="MS Mincho" w:hAnsi="MS Mincho" w:cs="MS Mincho"/>
          <w:sz w:val="32"/>
          <w:szCs w:val="32"/>
          <w:u w:val="single"/>
        </w:rPr>
        <w:t xml:space="preserve">3.3 </w:t>
      </w:r>
      <w:r w:rsidRPr="00A1685E">
        <w:rPr>
          <w:rFonts w:ascii="MS Mincho" w:eastAsia="MS Mincho" w:hAnsi="MS Mincho" w:cs="MS Mincho" w:hint="eastAsia"/>
          <w:sz w:val="32"/>
          <w:szCs w:val="32"/>
          <w:u w:val="single"/>
        </w:rPr>
        <w:t>クールノー寡占市場</w:t>
      </w:r>
    </w:p>
    <w:p w14:paraId="225073D6" w14:textId="47009034" w:rsidR="00A1685E" w:rsidRDefault="00A1685E" w:rsidP="00A1685E">
      <w:pPr>
        <w:pStyle w:val="ListParagraph"/>
        <w:numPr>
          <w:ilvl w:val="0"/>
          <w:numId w:val="7"/>
        </w:numPr>
      </w:pPr>
      <w:r>
        <w:rPr>
          <w:rFonts w:hint="eastAsia"/>
        </w:rPr>
        <w:t>２つのミネラル・ウォーター会社（</w:t>
      </w:r>
      <w:r>
        <w:t>X</w:t>
      </w:r>
      <w:r>
        <w:rPr>
          <w:rFonts w:hint="eastAsia"/>
        </w:rPr>
        <w:t>と</w:t>
      </w:r>
      <w:r>
        <w:t>Y</w:t>
      </w:r>
      <w:r>
        <w:rPr>
          <w:rFonts w:hint="eastAsia"/>
        </w:rPr>
        <w:t>）間の数量（販売量）競争のモデル</w:t>
      </w:r>
    </w:p>
    <w:p w14:paraId="7BA8F879" w14:textId="088D62A3" w:rsidR="00A1685E" w:rsidRDefault="00A1685E" w:rsidP="00A1685E">
      <w:pPr>
        <w:pStyle w:val="ListParagraph"/>
        <w:numPr>
          <w:ilvl w:val="1"/>
          <w:numId w:val="7"/>
        </w:numPr>
      </w:pPr>
      <w:r>
        <w:rPr>
          <w:rFonts w:hint="eastAsia"/>
        </w:rPr>
        <w:t>自社の最適な販売量はライバルの販売量に依存して変化する！</w:t>
      </w:r>
    </w:p>
    <w:p w14:paraId="330DBF90" w14:textId="523E433D" w:rsidR="00A1685E" w:rsidRDefault="00A1685E" w:rsidP="00A1685E">
      <w:pPr>
        <w:pStyle w:val="ListParagraph"/>
        <w:numPr>
          <w:ilvl w:val="1"/>
          <w:numId w:val="7"/>
        </w:numPr>
      </w:pPr>
      <w:r>
        <w:rPr>
          <w:rFonts w:hint="eastAsia"/>
        </w:rPr>
        <w:t>各企業の生産費用は１単位あたり</w:t>
      </w:r>
      <w:r>
        <w:t>c</w:t>
      </w:r>
      <w:r>
        <w:rPr>
          <w:vertAlign w:val="subscript"/>
        </w:rPr>
        <w:t>x</w:t>
      </w:r>
      <w:r w:rsidR="00C63FFA">
        <w:rPr>
          <w:vertAlign w:val="subscript"/>
        </w:rPr>
        <w:t xml:space="preserve">, </w:t>
      </w:r>
      <w:r>
        <w:rPr>
          <w:vertAlign w:val="subscript"/>
        </w:rPr>
        <w:t xml:space="preserve"> </w:t>
      </w:r>
      <w:r>
        <w:t>c</w:t>
      </w:r>
      <w:r>
        <w:rPr>
          <w:vertAlign w:val="subscript"/>
        </w:rPr>
        <w:t>y</w:t>
      </w:r>
      <w:r>
        <w:t xml:space="preserve"> </w:t>
      </w:r>
    </w:p>
    <w:p w14:paraId="4CC95F63" w14:textId="4DE7ADC6" w:rsidR="00A1685E" w:rsidRDefault="00A1685E" w:rsidP="00A1685E">
      <w:pPr>
        <w:pStyle w:val="ListParagraph"/>
        <w:numPr>
          <w:ilvl w:val="1"/>
          <w:numId w:val="7"/>
        </w:numPr>
      </w:pPr>
      <w:r>
        <w:rPr>
          <w:rFonts w:hint="eastAsia"/>
        </w:rPr>
        <w:t>価格競争はなく需要曲線は各企業の生産量（＝供給量）を</w:t>
      </w:r>
      <w:r>
        <w:t>q</w:t>
      </w:r>
      <w:r>
        <w:rPr>
          <w:vertAlign w:val="subscript"/>
        </w:rPr>
        <w:t xml:space="preserve">x </w:t>
      </w:r>
      <w:r>
        <w:t>,q</w:t>
      </w:r>
      <w:r>
        <w:rPr>
          <w:vertAlign w:val="subscript"/>
        </w:rPr>
        <w:t>y</w:t>
      </w:r>
      <w:r>
        <w:t xml:space="preserve"> </w:t>
      </w:r>
      <w:r>
        <w:rPr>
          <w:rFonts w:hint="eastAsia"/>
        </w:rPr>
        <w:t>とすると財の価格は（逆）需要曲線で決まる。</w:t>
      </w:r>
    </w:p>
    <w:p w14:paraId="4C026B35" w14:textId="39A65214" w:rsidR="00A1685E" w:rsidRDefault="00A1685E" w:rsidP="00A1685E">
      <w:pPr>
        <w:pStyle w:val="ListParagraph"/>
        <w:numPr>
          <w:ilvl w:val="1"/>
          <w:numId w:val="7"/>
        </w:numPr>
      </w:pPr>
      <w:r>
        <w:t xml:space="preserve">P=a – </w:t>
      </w:r>
      <w:proofErr w:type="gramStart"/>
      <w:r>
        <w:t>b(</w:t>
      </w:r>
      <w:proofErr w:type="gramEnd"/>
      <w:r>
        <w:t>q</w:t>
      </w:r>
      <w:r>
        <w:rPr>
          <w:vertAlign w:val="subscript"/>
        </w:rPr>
        <w:t>x</w:t>
      </w:r>
      <w:r>
        <w:t xml:space="preserve"> + q</w:t>
      </w:r>
      <w:r>
        <w:rPr>
          <w:vertAlign w:val="subscript"/>
        </w:rPr>
        <w:t>y</w:t>
      </w:r>
      <w:r>
        <w:t>)  a,</w:t>
      </w:r>
      <w:r w:rsidR="00C63FFA">
        <w:t xml:space="preserve"> </w:t>
      </w:r>
      <w:r>
        <w:t xml:space="preserve">b&gt;0 </w:t>
      </w:r>
    </w:p>
    <w:p w14:paraId="1564BAB9" w14:textId="78E3D63F" w:rsidR="00A1685E" w:rsidRDefault="00A1685E" w:rsidP="00A1685E">
      <w:pPr>
        <w:rPr>
          <w:rFonts w:ascii="MS Mincho" w:eastAsia="MS Mincho" w:hAnsi="MS Mincho" w:cs="MS Mincho"/>
          <w:u w:val="single"/>
        </w:rPr>
      </w:pPr>
      <w:r w:rsidRPr="00A1685E">
        <w:rPr>
          <w:rFonts w:ascii="MS Mincho" w:eastAsia="MS Mincho" w:hAnsi="MS Mincho" w:cs="MS Mincho" w:hint="eastAsia"/>
          <w:u w:val="single"/>
        </w:rPr>
        <w:t>クールノー（複占）モデルの戦略形</w:t>
      </w:r>
    </w:p>
    <w:p w14:paraId="091AE1AF" w14:textId="7880E950" w:rsidR="00A1685E" w:rsidRDefault="00A1685E" w:rsidP="00A1685E">
      <w:pPr>
        <w:pStyle w:val="ListParagraph"/>
        <w:numPr>
          <w:ilvl w:val="0"/>
          <w:numId w:val="7"/>
        </w:numPr>
        <w:tabs>
          <w:tab w:val="left" w:pos="3544"/>
        </w:tabs>
      </w:pPr>
      <w:r>
        <w:rPr>
          <w:rFonts w:hint="eastAsia"/>
        </w:rPr>
        <w:t>プレーヤー集合</w:t>
      </w:r>
    </w:p>
    <w:p w14:paraId="04838978" w14:textId="40B15BBA" w:rsidR="00A1685E" w:rsidRDefault="00A1685E" w:rsidP="00A1685E">
      <w:pPr>
        <w:pStyle w:val="ListParagraph"/>
        <w:numPr>
          <w:ilvl w:val="0"/>
          <w:numId w:val="7"/>
        </w:numPr>
        <w:tabs>
          <w:tab w:val="left" w:pos="3544"/>
        </w:tabs>
      </w:pPr>
      <w:r>
        <w:rPr>
          <w:rFonts w:hint="eastAsia"/>
        </w:rPr>
        <w:t>戦略集合</w:t>
      </w:r>
    </w:p>
    <w:p w14:paraId="6F18D30C" w14:textId="6111C588" w:rsidR="00A1685E" w:rsidRDefault="00A1685E" w:rsidP="00A1685E">
      <w:pPr>
        <w:pStyle w:val="ListParagraph"/>
        <w:numPr>
          <w:ilvl w:val="0"/>
          <w:numId w:val="7"/>
        </w:numPr>
        <w:tabs>
          <w:tab w:val="left" w:pos="3544"/>
        </w:tabs>
      </w:pPr>
      <w:r>
        <w:rPr>
          <w:rFonts w:hint="eastAsia"/>
        </w:rPr>
        <w:t>利得関数（＝各企業の利潤とすると）</w:t>
      </w:r>
    </w:p>
    <w:p w14:paraId="01D3CBA6" w14:textId="09B149D7" w:rsidR="00A1685E" w:rsidRPr="00C63FFA" w:rsidRDefault="00C63FFA" w:rsidP="00A1685E">
      <w:pPr>
        <w:tabs>
          <w:tab w:val="left" w:pos="3544"/>
        </w:tabs>
        <w:rPr>
          <w:rFonts w:hint="eastAsia"/>
          <w:sz w:val="32"/>
          <w:szCs w:val="32"/>
          <w:u w:val="single"/>
        </w:rPr>
      </w:pPr>
      <w:r w:rsidRPr="00C63FFA">
        <w:rPr>
          <w:rFonts w:ascii="MS Mincho" w:eastAsia="MS Mincho" w:hAnsi="MS Mincho" w:cs="MS Mincho"/>
          <w:sz w:val="32"/>
          <w:szCs w:val="32"/>
          <w:u w:val="single"/>
        </w:rPr>
        <w:t>3.4</w:t>
      </w:r>
      <w:r w:rsidRPr="00C63FFA">
        <w:rPr>
          <w:rFonts w:ascii="MS Mincho" w:eastAsia="MS Mincho" w:hAnsi="MS Mincho" w:cs="MS Mincho" w:hint="eastAsia"/>
          <w:sz w:val="32"/>
          <w:szCs w:val="32"/>
          <w:u w:val="single"/>
        </w:rPr>
        <w:t xml:space="preserve"> 公共財の供給</w:t>
      </w:r>
    </w:p>
    <w:p w14:paraId="0F33757B" w14:textId="19ED6068" w:rsidR="00C63FFA" w:rsidRDefault="00C63FFA" w:rsidP="00C63FFA">
      <w:pPr>
        <w:pStyle w:val="ListParagraph"/>
        <w:numPr>
          <w:ilvl w:val="0"/>
          <w:numId w:val="9"/>
        </w:numPr>
      </w:pPr>
      <w:r w:rsidRPr="00C63FFA">
        <w:t>ある</w:t>
      </w:r>
      <w:r w:rsidRPr="00C63FFA">
        <w:rPr>
          <w:rFonts w:hint="eastAsia"/>
        </w:rPr>
        <w:t>プロジェクト（</w:t>
      </w:r>
      <w:r w:rsidRPr="00C63FFA">
        <w:rPr>
          <w:rFonts w:hint="eastAsia"/>
        </w:rPr>
        <w:t>市</w:t>
      </w:r>
      <w:r w:rsidRPr="00C63FFA">
        <w:t>民ホール、市民球場な</w:t>
      </w:r>
      <w:r w:rsidRPr="00C63FFA">
        <w:rPr>
          <w:rFonts w:hint="eastAsia"/>
        </w:rPr>
        <w:t>ど）</w:t>
      </w:r>
      <w:r w:rsidRPr="00C63FFA">
        <w:t>の建設費</w:t>
      </w:r>
      <w:r w:rsidRPr="00C63FFA">
        <w:rPr>
          <w:rFonts w:hint="eastAsia"/>
        </w:rPr>
        <w:t>が</w:t>
      </w:r>
      <w:r w:rsidRPr="00C63FFA">
        <w:t>X</w:t>
      </w:r>
      <w:r w:rsidRPr="00C63FFA">
        <w:t>億円かかるとする。このとき</w:t>
      </w:r>
      <w:r w:rsidRPr="00C63FFA">
        <w:rPr>
          <w:color w:val="FF0000"/>
        </w:rPr>
        <w:t>「利用</w:t>
      </w:r>
      <w:r w:rsidRPr="00C63FFA">
        <w:rPr>
          <w:color w:val="FF0000"/>
        </w:rPr>
        <w:t xml:space="preserve"> </w:t>
      </w:r>
      <w:r w:rsidRPr="00C63FFA">
        <w:rPr>
          <w:color w:val="FF0000"/>
        </w:rPr>
        <w:t>者にとっての</w:t>
      </w:r>
      <w:r w:rsidRPr="00C63FFA">
        <w:rPr>
          <w:rFonts w:hint="eastAsia"/>
          <w:color w:val="FF0000"/>
        </w:rPr>
        <w:t>プロジェクト</w:t>
      </w:r>
      <w:r w:rsidRPr="00C63FFA">
        <w:rPr>
          <w:color w:val="FF0000"/>
        </w:rPr>
        <w:t>の評価額</w:t>
      </w:r>
      <w:r w:rsidRPr="00C63FFA">
        <w:rPr>
          <w:color w:val="FF0000"/>
        </w:rPr>
        <w:t>(</w:t>
      </w:r>
      <w:r w:rsidRPr="00C63FFA">
        <w:rPr>
          <w:rFonts w:hint="eastAsia"/>
          <w:color w:val="FF0000"/>
        </w:rPr>
        <w:t>プロジェクト</w:t>
      </w:r>
      <w:r w:rsidRPr="00C63FFA">
        <w:rPr>
          <w:rFonts w:hint="eastAsia"/>
          <w:color w:val="FF0000"/>
        </w:rPr>
        <w:t>が</w:t>
      </w:r>
      <w:r w:rsidRPr="00C63FFA">
        <w:rPr>
          <w:color w:val="FF0000"/>
        </w:rPr>
        <w:t>実現するために最大限支払っても良い額</w:t>
      </w:r>
      <w:r w:rsidRPr="00C63FFA">
        <w:rPr>
          <w:color w:val="FF0000"/>
        </w:rPr>
        <w:t>)</w:t>
      </w:r>
      <w:r w:rsidRPr="00C63FFA">
        <w:rPr>
          <w:color w:val="FF0000"/>
        </w:rPr>
        <w:t>の</w:t>
      </w:r>
      <w:r w:rsidRPr="00C63FFA">
        <w:rPr>
          <w:color w:val="FF0000"/>
        </w:rPr>
        <w:t xml:space="preserve"> </w:t>
      </w:r>
      <w:r w:rsidRPr="00C63FFA">
        <w:rPr>
          <w:color w:val="FF0000"/>
        </w:rPr>
        <w:t>合計</w:t>
      </w:r>
      <w:r w:rsidRPr="00C63FFA">
        <w:rPr>
          <w:rFonts w:hint="eastAsia"/>
          <w:color w:val="FF0000"/>
        </w:rPr>
        <w:t>が</w:t>
      </w:r>
      <w:r w:rsidRPr="00C63FFA">
        <w:rPr>
          <w:color w:val="FF0000"/>
        </w:rPr>
        <w:t>X</w:t>
      </w:r>
      <w:r w:rsidRPr="00C63FFA">
        <w:rPr>
          <w:color w:val="FF0000"/>
        </w:rPr>
        <w:t>億円以上</w:t>
      </w:r>
      <w:r w:rsidRPr="00C63FFA">
        <w:rPr>
          <w:rFonts w:hint="eastAsia"/>
          <w:color w:val="FF0000"/>
        </w:rPr>
        <w:t>で</w:t>
      </w:r>
      <w:r w:rsidRPr="00C63FFA">
        <w:rPr>
          <w:color w:val="FF0000"/>
        </w:rPr>
        <w:t>あれ</w:t>
      </w:r>
      <w:r w:rsidRPr="00C63FFA">
        <w:rPr>
          <w:rFonts w:hint="eastAsia"/>
          <w:color w:val="FF0000"/>
        </w:rPr>
        <w:t>ば</w:t>
      </w:r>
      <w:r w:rsidRPr="00C63FFA">
        <w:rPr>
          <w:color w:val="FF0000"/>
        </w:rPr>
        <w:t>、実行し、</w:t>
      </w:r>
      <w:r w:rsidRPr="00C63FFA">
        <w:rPr>
          <w:color w:val="FF0000"/>
        </w:rPr>
        <w:t>X</w:t>
      </w:r>
      <w:r w:rsidRPr="00C63FFA">
        <w:rPr>
          <w:color w:val="FF0000"/>
        </w:rPr>
        <w:t>億円に</w:t>
      </w:r>
      <w:r w:rsidRPr="00C63FFA">
        <w:rPr>
          <w:color w:val="FF0000"/>
        </w:rPr>
        <w:t xml:space="preserve"> </w:t>
      </w:r>
      <w:r w:rsidRPr="00C63FFA">
        <w:rPr>
          <w:color w:val="FF0000"/>
        </w:rPr>
        <w:t>満たない場合は実行しない」</w:t>
      </w:r>
      <w:r w:rsidRPr="00C63FFA">
        <w:t>ことを望ましい結</w:t>
      </w:r>
      <w:r w:rsidRPr="00C63FFA">
        <w:t xml:space="preserve"> </w:t>
      </w:r>
      <w:r w:rsidRPr="00C63FFA">
        <w:t>果として、その結果を実現する</w:t>
      </w:r>
      <w:r w:rsidRPr="00C63FFA">
        <w:t>“</w:t>
      </w:r>
      <w:r w:rsidRPr="00C63FFA">
        <w:t>正直な</w:t>
      </w:r>
      <w:r w:rsidRPr="00C63FFA">
        <w:t>”</w:t>
      </w:r>
      <w:r w:rsidRPr="00C63FFA">
        <w:t>メカニ</w:t>
      </w:r>
      <w:r w:rsidRPr="00C63FFA">
        <w:t xml:space="preserve"> </w:t>
      </w:r>
      <w:r w:rsidRPr="00C63FFA">
        <w:rPr>
          <w:rFonts w:hint="eastAsia"/>
        </w:rPr>
        <w:t>ズ</w:t>
      </w:r>
      <w:r w:rsidRPr="00C63FFA">
        <w:t>ムを考えてみよう。</w:t>
      </w:r>
    </w:p>
    <w:p w14:paraId="429822AA" w14:textId="61CD6AB1" w:rsidR="00C63FFA" w:rsidRDefault="00C63FFA" w:rsidP="00C63FFA">
      <w:pPr>
        <w:pStyle w:val="ListParagraph"/>
        <w:numPr>
          <w:ilvl w:val="0"/>
          <w:numId w:val="9"/>
        </w:numPr>
      </w:pPr>
      <w:r>
        <w:rPr>
          <w:rFonts w:hint="eastAsia"/>
        </w:rPr>
        <w:t>自分の評価を正直に申告するか？</w:t>
      </w:r>
    </w:p>
    <w:p w14:paraId="1BCDCDA7" w14:textId="697E5A36" w:rsidR="00C63FFA" w:rsidRDefault="00C63FFA" w:rsidP="00C63FFA">
      <w:pPr>
        <w:pStyle w:val="ListParagraph"/>
        <w:numPr>
          <w:ilvl w:val="1"/>
          <w:numId w:val="9"/>
        </w:numPr>
      </w:pPr>
      <w:r>
        <w:rPr>
          <w:rFonts w:hint="eastAsia"/>
        </w:rPr>
        <w:t>利用者に対し評価額を申告することを求め、申告額の合計が</w:t>
      </w:r>
      <w:r>
        <w:t>X</w:t>
      </w:r>
      <w:r>
        <w:rPr>
          <w:rFonts w:hint="eastAsia"/>
        </w:rPr>
        <w:t>億円を上回れば実行するという素朴なメカニズムは正直に申告するインセンティブを持つか？</w:t>
      </w:r>
    </w:p>
    <w:p w14:paraId="2F57BD4F" w14:textId="0D4CBD63" w:rsidR="00C63FFA" w:rsidRDefault="00C63FFA" w:rsidP="00C63FFA">
      <w:pPr>
        <w:pStyle w:val="ListParagraph"/>
        <w:numPr>
          <w:ilvl w:val="1"/>
          <w:numId w:val="9"/>
        </w:numPr>
      </w:pPr>
      <w:r>
        <w:rPr>
          <w:rFonts w:hint="eastAsia"/>
        </w:rPr>
        <w:t>過大な申告を防ぐ方法は？</w:t>
      </w:r>
    </w:p>
    <w:p w14:paraId="68DF3449" w14:textId="763975A3" w:rsidR="00C63FFA" w:rsidRDefault="00C63FFA" w:rsidP="00C63FFA">
      <w:pPr>
        <w:pStyle w:val="ListParagraph"/>
        <w:numPr>
          <w:ilvl w:val="1"/>
          <w:numId w:val="9"/>
        </w:numPr>
      </w:pPr>
      <w:r>
        <w:rPr>
          <w:rFonts w:hint="eastAsia"/>
        </w:rPr>
        <w:t>プロジェクトが実行される場合、申告額に等しい負担を求めるというメカニズムは、正直な申告をするインセンティブを持つか？</w:t>
      </w:r>
    </w:p>
    <w:p w14:paraId="1562EDD2" w14:textId="622E77F5" w:rsidR="00C63FFA" w:rsidRDefault="00C63FFA" w:rsidP="00C63FFA">
      <w:pPr>
        <w:pStyle w:val="ListParagraph"/>
        <w:numPr>
          <w:ilvl w:val="0"/>
          <w:numId w:val="9"/>
        </w:numPr>
      </w:pPr>
      <w:r>
        <w:rPr>
          <w:rFonts w:hint="eastAsia"/>
        </w:rPr>
        <w:t>正直なメカニズムの条件</w:t>
      </w:r>
    </w:p>
    <w:p w14:paraId="2BBCCBEB" w14:textId="7697B56E" w:rsidR="00C63FFA" w:rsidRDefault="00C63FFA" w:rsidP="00C63FFA">
      <w:pPr>
        <w:pStyle w:val="ListParagraph"/>
        <w:numPr>
          <w:ilvl w:val="1"/>
          <w:numId w:val="9"/>
        </w:numPr>
      </w:pPr>
      <w:r>
        <w:rPr>
          <w:rFonts w:hint="eastAsia"/>
        </w:rPr>
        <w:t>直感的には、自分の申告額が自分の支払額に影響を及ぼすならば、正直な申告は望めない。</w:t>
      </w:r>
    </w:p>
    <w:p w14:paraId="351828EF" w14:textId="1FE1A6C9" w:rsidR="00C63FFA" w:rsidRDefault="00C63FFA" w:rsidP="00C63FFA">
      <w:pPr>
        <w:pStyle w:val="ListParagraph"/>
        <w:numPr>
          <w:ilvl w:val="1"/>
          <w:numId w:val="9"/>
        </w:numPr>
      </w:pPr>
      <w:r>
        <w:rPr>
          <w:rFonts w:hint="eastAsia"/>
        </w:rPr>
        <w:lastRenderedPageBreak/>
        <w:t>正直な申告を引き出すには、申告額と支払額の関係を断ち切ることが必要。</w:t>
      </w:r>
    </w:p>
    <w:p w14:paraId="2EC83481" w14:textId="57FCB413" w:rsidR="00C63FFA" w:rsidRPr="00D12130" w:rsidRDefault="00D12130" w:rsidP="00C63FFA">
      <w:pPr>
        <w:rPr>
          <w:rFonts w:ascii="MS Mincho" w:eastAsia="MS Mincho" w:hAnsi="MS Mincho" w:cs="MS Mincho"/>
          <w:sz w:val="32"/>
          <w:szCs w:val="32"/>
          <w:u w:val="single"/>
        </w:rPr>
      </w:pPr>
      <w:r w:rsidRPr="00D12130">
        <w:rPr>
          <w:sz w:val="32"/>
          <w:szCs w:val="32"/>
          <w:u w:val="single"/>
        </w:rPr>
        <w:t xml:space="preserve">3.5 </w:t>
      </w:r>
      <w:r w:rsidRPr="00D12130">
        <w:rPr>
          <w:rFonts w:ascii="MS Mincho" w:eastAsia="MS Mincho" w:hAnsi="MS Mincho" w:cs="MS Mincho" w:hint="eastAsia"/>
          <w:sz w:val="32"/>
          <w:szCs w:val="32"/>
          <w:u w:val="single"/>
        </w:rPr>
        <w:t>オークション</w:t>
      </w:r>
    </w:p>
    <w:p w14:paraId="149531B8" w14:textId="77343223" w:rsidR="00D12130" w:rsidRDefault="00D12130" w:rsidP="00D12130">
      <w:pPr>
        <w:pStyle w:val="ListParagraph"/>
        <w:numPr>
          <w:ilvl w:val="0"/>
          <w:numId w:val="10"/>
        </w:numPr>
      </w:pPr>
      <w:r>
        <w:rPr>
          <w:rFonts w:hint="eastAsia"/>
        </w:rPr>
        <w:t>オークションは様々な場面で利用されている「売り方」の“メカニズム”</w:t>
      </w:r>
    </w:p>
    <w:p w14:paraId="2874665F" w14:textId="3E4463B5" w:rsidR="00D12130" w:rsidRDefault="00D12130" w:rsidP="00D12130">
      <w:pPr>
        <w:pStyle w:val="ListParagraph"/>
        <w:numPr>
          <w:ilvl w:val="0"/>
          <w:numId w:val="10"/>
        </w:numPr>
      </w:pPr>
      <w:r>
        <w:rPr>
          <w:rFonts w:hint="eastAsia"/>
        </w:rPr>
        <w:t>以下で、様々なタイプのオークションを紹介し、戦略形でどのように表すことができるか考える。</w:t>
      </w:r>
    </w:p>
    <w:p w14:paraId="3A0C6A0E" w14:textId="4B53C3FF" w:rsidR="00D12130" w:rsidRPr="00D12130" w:rsidRDefault="00D12130" w:rsidP="00D12130">
      <w:pPr>
        <w:rPr>
          <w:rFonts w:ascii="MS Mincho" w:eastAsia="MS Mincho" w:hAnsi="MS Mincho" w:cs="MS Mincho"/>
          <w:u w:val="single"/>
        </w:rPr>
      </w:pPr>
      <w:r w:rsidRPr="00D12130">
        <w:rPr>
          <w:rFonts w:ascii="MS Mincho" w:eastAsia="MS Mincho" w:hAnsi="MS Mincho" w:cs="MS Mincho" w:hint="eastAsia"/>
          <w:u w:val="single"/>
        </w:rPr>
        <w:t>オークションの諸類型</w:t>
      </w:r>
    </w:p>
    <w:p w14:paraId="6792E4B4" w14:textId="30924FB5" w:rsidR="00D12130" w:rsidRDefault="00D12130" w:rsidP="00D12130">
      <w:pPr>
        <w:pStyle w:val="ListParagraph"/>
        <w:numPr>
          <w:ilvl w:val="0"/>
          <w:numId w:val="11"/>
        </w:numPr>
        <w:rPr>
          <w:rFonts w:ascii="MS Mincho" w:eastAsia="MS Mincho" w:hAnsi="MS Mincho" w:cs="MS Mincho"/>
        </w:rPr>
      </w:pPr>
      <w:r>
        <w:rPr>
          <w:rFonts w:ascii="MS Mincho" w:eastAsia="MS Mincho" w:hAnsi="MS Mincho" w:cs="MS Mincho"/>
        </w:rPr>
        <w:t xml:space="preserve">Bidder </w:t>
      </w:r>
      <w:r>
        <w:rPr>
          <w:rFonts w:ascii="MS Mincho" w:eastAsia="MS Mincho" w:hAnsi="MS Mincho" w:cs="MS Mincho" w:hint="eastAsia"/>
        </w:rPr>
        <w:t>による分類</w:t>
      </w:r>
    </w:p>
    <w:p w14:paraId="7808A732" w14:textId="70F7F179" w:rsidR="00D12130" w:rsidRDefault="00D12130" w:rsidP="00D12130">
      <w:pPr>
        <w:pStyle w:val="ListParagraph"/>
        <w:numPr>
          <w:ilvl w:val="1"/>
          <w:numId w:val="11"/>
        </w:numPr>
        <w:rPr>
          <w:rFonts w:ascii="MS Mincho" w:eastAsia="MS Mincho" w:hAnsi="MS Mincho" w:cs="MS Mincho"/>
        </w:rPr>
      </w:pPr>
      <w:r>
        <w:rPr>
          <w:rFonts w:ascii="MS Mincho" w:eastAsia="MS Mincho" w:hAnsi="MS Mincho" w:cs="MS Mincho" w:hint="eastAsia"/>
        </w:rPr>
        <w:t>付け値（</w:t>
      </w:r>
      <w:r>
        <w:rPr>
          <w:rFonts w:ascii="MS Mincho" w:eastAsia="MS Mincho" w:hAnsi="MS Mincho" w:cs="MS Mincho"/>
        </w:rPr>
        <w:t>bid）</w:t>
      </w:r>
      <w:r>
        <w:rPr>
          <w:rFonts w:ascii="MS Mincho" w:eastAsia="MS Mincho" w:hAnsi="MS Mincho" w:cs="MS Mincho" w:hint="eastAsia"/>
        </w:rPr>
        <w:t>するのは誰か？</w:t>
      </w:r>
    </w:p>
    <w:p w14:paraId="72F7972E" w14:textId="6CFC0E81" w:rsidR="00D12130" w:rsidRDefault="00D12130" w:rsidP="00D12130">
      <w:pPr>
        <w:pStyle w:val="ListParagraph"/>
        <w:numPr>
          <w:ilvl w:val="2"/>
          <w:numId w:val="11"/>
        </w:numPr>
        <w:rPr>
          <w:rFonts w:ascii="MS Mincho" w:eastAsia="MS Mincho" w:hAnsi="MS Mincho" w:cs="MS Mincho"/>
        </w:rPr>
      </w:pPr>
      <w:r>
        <w:rPr>
          <w:rFonts w:ascii="MS Mincho" w:eastAsia="MS Mincho" w:hAnsi="MS Mincho" w:cs="MS Mincho" w:hint="eastAsia"/>
        </w:rPr>
        <w:t>買い手：通常のオークション</w:t>
      </w:r>
    </w:p>
    <w:p w14:paraId="1CC55ACF" w14:textId="18B3DC6D" w:rsidR="00D12130" w:rsidRDefault="00D12130" w:rsidP="00D12130">
      <w:pPr>
        <w:pStyle w:val="ListParagraph"/>
        <w:numPr>
          <w:ilvl w:val="2"/>
          <w:numId w:val="11"/>
        </w:numPr>
        <w:rPr>
          <w:rFonts w:ascii="MS Mincho" w:eastAsia="MS Mincho" w:hAnsi="MS Mincho" w:cs="MS Mincho"/>
        </w:rPr>
      </w:pPr>
      <w:r>
        <w:rPr>
          <w:rFonts w:ascii="MS Mincho" w:eastAsia="MS Mincho" w:hAnsi="MS Mincho" w:cs="MS Mincho" w:hint="eastAsia"/>
        </w:rPr>
        <w:t>売り手：公共工事の入札など</w:t>
      </w:r>
    </w:p>
    <w:p w14:paraId="471BFFCA" w14:textId="70968964" w:rsidR="00D12130" w:rsidRDefault="00D12130" w:rsidP="00D12130">
      <w:pPr>
        <w:pStyle w:val="ListParagraph"/>
        <w:numPr>
          <w:ilvl w:val="2"/>
          <w:numId w:val="11"/>
        </w:numPr>
        <w:rPr>
          <w:rFonts w:ascii="MS Mincho" w:eastAsia="MS Mincho" w:hAnsi="MS Mincho" w:cs="MS Mincho"/>
        </w:rPr>
      </w:pPr>
      <w:r>
        <w:rPr>
          <w:rFonts w:ascii="MS Mincho" w:eastAsia="MS Mincho" w:hAnsi="MS Mincho" w:cs="MS Mincho" w:hint="eastAsia"/>
        </w:rPr>
        <w:t>売り手と買い手：株式市場など（</w:t>
      </w:r>
      <w:r>
        <w:rPr>
          <w:rFonts w:ascii="MS Mincho" w:eastAsia="MS Mincho" w:hAnsi="MS Mincho" w:cs="MS Mincho"/>
        </w:rPr>
        <w:t xml:space="preserve">double auction） </w:t>
      </w:r>
    </w:p>
    <w:p w14:paraId="627445E4" w14:textId="483AABD4" w:rsidR="00D12130" w:rsidRDefault="00D12130" w:rsidP="00D12130">
      <w:pPr>
        <w:pStyle w:val="ListParagraph"/>
        <w:numPr>
          <w:ilvl w:val="0"/>
          <w:numId w:val="11"/>
        </w:numPr>
        <w:rPr>
          <w:rFonts w:ascii="MS Mincho" w:eastAsia="MS Mincho" w:hAnsi="MS Mincho" w:cs="MS Mincho"/>
        </w:rPr>
      </w:pPr>
      <w:r>
        <w:rPr>
          <w:rFonts w:ascii="MS Mincho" w:eastAsia="MS Mincho" w:hAnsi="MS Mincho" w:cs="MS Mincho" w:hint="eastAsia"/>
        </w:rPr>
        <w:t>ルールによる分類</w:t>
      </w:r>
    </w:p>
    <w:p w14:paraId="0DDECE31" w14:textId="30F50662" w:rsidR="00D12130" w:rsidRDefault="00D12130" w:rsidP="00D12130">
      <w:pPr>
        <w:pStyle w:val="ListParagraph"/>
        <w:numPr>
          <w:ilvl w:val="1"/>
          <w:numId w:val="11"/>
        </w:numPr>
        <w:rPr>
          <w:rFonts w:ascii="MS Mincho" w:eastAsia="MS Mincho" w:hAnsi="MS Mincho" w:cs="MS Mincho"/>
        </w:rPr>
      </w:pPr>
      <w:r>
        <w:rPr>
          <w:rFonts w:ascii="MS Mincho" w:eastAsia="MS Mincho" w:hAnsi="MS Mincho" w:cs="MS Mincho" w:hint="eastAsia"/>
        </w:rPr>
        <w:t>ルールに関するポイント</w:t>
      </w:r>
    </w:p>
    <w:p w14:paraId="4302AF93" w14:textId="28DD5F9E" w:rsidR="00D12130" w:rsidRDefault="00D12130" w:rsidP="00D12130">
      <w:pPr>
        <w:pStyle w:val="ListParagraph"/>
        <w:numPr>
          <w:ilvl w:val="2"/>
          <w:numId w:val="11"/>
        </w:numPr>
        <w:rPr>
          <w:rFonts w:ascii="MS Mincho" w:eastAsia="MS Mincho" w:hAnsi="MS Mincho" w:cs="MS Mincho"/>
        </w:rPr>
      </w:pPr>
      <w:r>
        <w:rPr>
          <w:rFonts w:ascii="MS Mincho" w:eastAsia="MS Mincho" w:hAnsi="MS Mincho" w:cs="MS Mincho" w:hint="eastAsia"/>
        </w:rPr>
        <w:t>入札者はどのように付け値するか。（どのようなルールを守るか）。</w:t>
      </w:r>
    </w:p>
    <w:p w14:paraId="4FA9F7CE" w14:textId="35E50028" w:rsidR="00D12130" w:rsidRDefault="00D12130" w:rsidP="00D12130">
      <w:pPr>
        <w:pStyle w:val="ListParagraph"/>
        <w:numPr>
          <w:ilvl w:val="2"/>
          <w:numId w:val="11"/>
        </w:numPr>
        <w:rPr>
          <w:rFonts w:ascii="MS Mincho" w:eastAsia="MS Mincho" w:hAnsi="MS Mincho" w:cs="MS Mincho"/>
        </w:rPr>
      </w:pPr>
      <w:r>
        <w:rPr>
          <w:rFonts w:ascii="MS Mincho" w:eastAsia="MS Mincho" w:hAnsi="MS Mincho" w:cs="MS Mincho" w:hint="eastAsia"/>
        </w:rPr>
        <w:t>落札者はどのように決められるか。</w:t>
      </w:r>
    </w:p>
    <w:p w14:paraId="2D43D320" w14:textId="59D205E4" w:rsidR="00D12130" w:rsidRDefault="00D12130" w:rsidP="00D12130">
      <w:pPr>
        <w:pStyle w:val="ListParagraph"/>
        <w:numPr>
          <w:ilvl w:val="2"/>
          <w:numId w:val="11"/>
        </w:numPr>
        <w:rPr>
          <w:rFonts w:ascii="MS Mincho" w:eastAsia="MS Mincho" w:hAnsi="MS Mincho" w:cs="MS Mincho"/>
        </w:rPr>
      </w:pPr>
      <w:r>
        <w:rPr>
          <w:rFonts w:ascii="MS Mincho" w:eastAsia="MS Mincho" w:hAnsi="MS Mincho" w:cs="MS Mincho" w:hint="eastAsia"/>
        </w:rPr>
        <w:t>落札者が支払う価格はどのように決められるか。</w:t>
      </w:r>
    </w:p>
    <w:p w14:paraId="6938D4D7" w14:textId="3038AD72" w:rsidR="00D12130" w:rsidRDefault="00D12130" w:rsidP="00D12130">
      <w:pPr>
        <w:pStyle w:val="ListParagraph"/>
        <w:numPr>
          <w:ilvl w:val="1"/>
          <w:numId w:val="11"/>
        </w:numPr>
        <w:rPr>
          <w:rFonts w:ascii="MS Mincho" w:eastAsia="MS Mincho" w:hAnsi="MS Mincho" w:cs="MS Mincho"/>
        </w:rPr>
      </w:pPr>
      <w:r>
        <w:rPr>
          <w:rFonts w:ascii="MS Mincho" w:eastAsia="MS Mincho" w:hAnsi="MS Mincho" w:cs="MS Mincho" w:hint="eastAsia"/>
        </w:rPr>
        <w:t>代表的な４つのタイプは</w:t>
      </w:r>
    </w:p>
    <w:p w14:paraId="0962B0CE" w14:textId="31A25B19" w:rsidR="00D12130" w:rsidRDefault="00D12130" w:rsidP="00D12130">
      <w:pPr>
        <w:pStyle w:val="ListParagraph"/>
        <w:numPr>
          <w:ilvl w:val="2"/>
          <w:numId w:val="11"/>
        </w:numPr>
        <w:rPr>
          <w:rFonts w:ascii="MS Mincho" w:eastAsia="MS Mincho" w:hAnsi="MS Mincho" w:cs="MS Mincho"/>
        </w:rPr>
      </w:pPr>
      <w:r>
        <w:rPr>
          <w:rFonts w:ascii="MS Mincho" w:eastAsia="MS Mincho" w:hAnsi="MS Mincho" w:cs="MS Mincho"/>
        </w:rPr>
        <w:t xml:space="preserve">English Auction: </w:t>
      </w:r>
      <w:r>
        <w:rPr>
          <w:rFonts w:ascii="MS Mincho" w:eastAsia="MS Mincho" w:hAnsi="MS Mincho" w:cs="MS Mincho" w:hint="eastAsia"/>
        </w:rPr>
        <w:t>入札者は、他の入札者の付け値を観察可能。乳圧にはその時点の最高価格を上回る付け値が必要。最高価格を付けた入札者がその付け値で落札。</w:t>
      </w:r>
    </w:p>
    <w:p w14:paraId="3C8D9989" w14:textId="6E39AE5D" w:rsidR="00D12130" w:rsidRDefault="00D12130" w:rsidP="00D12130">
      <w:pPr>
        <w:pStyle w:val="ListParagraph"/>
        <w:numPr>
          <w:ilvl w:val="2"/>
          <w:numId w:val="11"/>
        </w:numPr>
        <w:rPr>
          <w:rFonts w:ascii="MS Mincho" w:eastAsia="MS Mincho" w:hAnsi="MS Mincho" w:cs="MS Mincho"/>
        </w:rPr>
      </w:pPr>
      <w:r>
        <w:rPr>
          <w:rFonts w:ascii="MS Mincho" w:eastAsia="MS Mincho" w:hAnsi="MS Mincho" w:cs="MS Mincho"/>
        </w:rPr>
        <w:t xml:space="preserve">Dutch Auction: </w:t>
      </w:r>
      <w:r>
        <w:rPr>
          <w:rFonts w:ascii="MS Mincho" w:eastAsia="MS Mincho" w:hAnsi="MS Mincho" w:cs="MS Mincho" w:hint="eastAsia"/>
        </w:rPr>
        <w:t>競り人が価格を下げていき最初にカカウに合意した入札者がその価格で落札</w:t>
      </w:r>
    </w:p>
    <w:p w14:paraId="35E31EB9" w14:textId="15D9BA54" w:rsidR="00D12130" w:rsidRDefault="00D12130" w:rsidP="00D12130">
      <w:pPr>
        <w:pStyle w:val="ListParagraph"/>
        <w:numPr>
          <w:ilvl w:val="2"/>
          <w:numId w:val="11"/>
        </w:numPr>
        <w:rPr>
          <w:rFonts w:ascii="MS Mincho" w:eastAsia="MS Mincho" w:hAnsi="MS Mincho" w:cs="MS Mincho"/>
        </w:rPr>
      </w:pPr>
      <w:r>
        <w:rPr>
          <w:rFonts w:ascii="MS Mincho" w:eastAsia="MS Mincho" w:hAnsi="MS Mincho" w:cs="MS Mincho"/>
        </w:rPr>
        <w:t xml:space="preserve">First Price Sealed Bid Auction (FPSB): </w:t>
      </w:r>
      <w:r>
        <w:rPr>
          <w:rFonts w:ascii="MS Mincho" w:eastAsia="MS Mincho" w:hAnsi="MS Mincho" w:cs="MS Mincho" w:hint="eastAsia"/>
        </w:rPr>
        <w:t>入札者は他の入札者の入札価格を観察できず、最高価格入札者がその価格で落札。</w:t>
      </w:r>
    </w:p>
    <w:p w14:paraId="5F269373" w14:textId="2988D6E3" w:rsidR="00D12130" w:rsidRDefault="00D12130" w:rsidP="00D12130">
      <w:pPr>
        <w:pStyle w:val="ListParagraph"/>
        <w:numPr>
          <w:ilvl w:val="2"/>
          <w:numId w:val="11"/>
        </w:numPr>
        <w:rPr>
          <w:rFonts w:ascii="MS Mincho" w:eastAsia="MS Mincho" w:hAnsi="MS Mincho" w:cs="MS Mincho"/>
        </w:rPr>
      </w:pPr>
      <w:r>
        <w:rPr>
          <w:rFonts w:ascii="MS Mincho" w:eastAsia="MS Mincho" w:hAnsi="MS Mincho" w:cs="MS Mincho"/>
        </w:rPr>
        <w:t>Second Price Sealed Bid Auction (SPSB): FPBA</w:t>
      </w:r>
      <w:r>
        <w:rPr>
          <w:rFonts w:ascii="MS Mincho" w:eastAsia="MS Mincho" w:hAnsi="MS Mincho" w:cs="MS Mincho" w:hint="eastAsia"/>
        </w:rPr>
        <w:t>とほぼ同じ。ただし、価格は２番目に高い入札価格</w:t>
      </w:r>
    </w:p>
    <w:p w14:paraId="01A89471" w14:textId="6D0B8173" w:rsidR="00D12130" w:rsidRDefault="00D12130" w:rsidP="00D12130">
      <w:pPr>
        <w:pStyle w:val="ListParagraph"/>
        <w:numPr>
          <w:ilvl w:val="0"/>
          <w:numId w:val="11"/>
        </w:numPr>
        <w:rPr>
          <w:rFonts w:ascii="MS Mincho" w:eastAsia="MS Mincho" w:hAnsi="MS Mincho" w:cs="MS Mincho"/>
        </w:rPr>
      </w:pPr>
      <w:r>
        <w:rPr>
          <w:rFonts w:ascii="MS Mincho" w:eastAsia="MS Mincho" w:hAnsi="MS Mincho" w:cs="MS Mincho" w:hint="eastAsia"/>
        </w:rPr>
        <w:t>対象物の</w:t>
      </w:r>
      <w:r>
        <w:rPr>
          <w:rFonts w:ascii="MS Mincho" w:eastAsia="MS Mincho" w:hAnsi="MS Mincho" w:cs="MS Mincho"/>
        </w:rPr>
        <w:t>value</w:t>
      </w:r>
      <w:r>
        <w:rPr>
          <w:rFonts w:ascii="MS Mincho" w:eastAsia="MS Mincho" w:hAnsi="MS Mincho" w:cs="MS Mincho" w:hint="eastAsia"/>
        </w:rPr>
        <w:t>による分類</w:t>
      </w:r>
    </w:p>
    <w:p w14:paraId="6D71FC21" w14:textId="644A7A78" w:rsidR="00D12130" w:rsidRDefault="00D12130" w:rsidP="00D12130">
      <w:pPr>
        <w:pStyle w:val="ListParagraph"/>
        <w:numPr>
          <w:ilvl w:val="1"/>
          <w:numId w:val="11"/>
        </w:numPr>
        <w:rPr>
          <w:rFonts w:ascii="MS Mincho" w:eastAsia="MS Mincho" w:hAnsi="MS Mincho" w:cs="MS Mincho"/>
        </w:rPr>
      </w:pPr>
      <w:r>
        <w:rPr>
          <w:rFonts w:ascii="MS Mincho" w:eastAsia="MS Mincho" w:hAnsi="MS Mincho" w:cs="MS Mincho" w:hint="eastAsia"/>
        </w:rPr>
        <w:t>オークションの対象に対する評価</w:t>
      </w:r>
    </w:p>
    <w:p w14:paraId="34F5B81A" w14:textId="4B94F101" w:rsidR="00D12130" w:rsidRDefault="00D12130" w:rsidP="00D12130">
      <w:pPr>
        <w:pStyle w:val="ListParagraph"/>
        <w:numPr>
          <w:ilvl w:val="2"/>
          <w:numId w:val="11"/>
        </w:numPr>
        <w:rPr>
          <w:rFonts w:ascii="MS Mincho" w:eastAsia="MS Mincho" w:hAnsi="MS Mincho" w:cs="MS Mincho"/>
        </w:rPr>
      </w:pPr>
      <w:r>
        <w:rPr>
          <w:rFonts w:ascii="MS Mincho" w:eastAsia="MS Mincho" w:hAnsi="MS Mincho" w:cs="MS Mincho" w:hint="eastAsia"/>
        </w:rPr>
        <w:t>私的価値の場合：対象物に対する評価は入札者の主観的な価値評価に依存し、バラバラである。（モデル分析については分布を特定化して議論するのが一般的）</w:t>
      </w:r>
    </w:p>
    <w:p w14:paraId="10CDB2D5" w14:textId="5BA99459" w:rsidR="00D12130" w:rsidRDefault="00D12130" w:rsidP="00D12130">
      <w:pPr>
        <w:pStyle w:val="ListParagraph"/>
        <w:numPr>
          <w:ilvl w:val="2"/>
          <w:numId w:val="11"/>
        </w:numPr>
        <w:rPr>
          <w:rFonts w:ascii="MS Mincho" w:eastAsia="MS Mincho" w:hAnsi="MS Mincho" w:cs="MS Mincho"/>
        </w:rPr>
      </w:pPr>
      <w:r>
        <w:rPr>
          <w:rFonts w:ascii="MS Mincho" w:eastAsia="MS Mincho" w:hAnsi="MS Mincho" w:cs="MS Mincho" w:hint="eastAsia"/>
        </w:rPr>
        <w:t>共通価値の場合：対象物の評価は客観的に決まる。例：原油など資源の鉱区の採掘権</w:t>
      </w:r>
    </w:p>
    <w:p w14:paraId="13AD100C" w14:textId="3B394EE8" w:rsidR="00D12130" w:rsidRDefault="00D12130" w:rsidP="00D12130">
      <w:pPr>
        <w:rPr>
          <w:rFonts w:ascii="MS Mincho" w:eastAsia="MS Mincho" w:hAnsi="MS Mincho" w:cs="MS Mincho"/>
          <w:u w:val="single"/>
        </w:rPr>
      </w:pPr>
      <w:r w:rsidRPr="002F799E">
        <w:rPr>
          <w:rFonts w:ascii="MS Mincho" w:eastAsia="MS Mincho" w:hAnsi="MS Mincho" w:cs="MS Mincho"/>
          <w:u w:val="single"/>
        </w:rPr>
        <w:t xml:space="preserve">4.1 </w:t>
      </w:r>
      <w:r w:rsidR="002F799E" w:rsidRPr="002F799E">
        <w:rPr>
          <w:rFonts w:ascii="MS Mincho" w:eastAsia="MS Mincho" w:hAnsi="MS Mincho" w:cs="MS Mincho" w:hint="eastAsia"/>
          <w:u w:val="single"/>
        </w:rPr>
        <w:t>最適反応</w:t>
      </w:r>
    </w:p>
    <w:p w14:paraId="2094DF98" w14:textId="7D5BC211" w:rsidR="002F799E" w:rsidRDefault="002F799E" w:rsidP="002F799E">
      <w:pPr>
        <w:pStyle w:val="ListParagraph"/>
        <w:numPr>
          <w:ilvl w:val="0"/>
          <w:numId w:val="12"/>
        </w:numPr>
        <w:rPr>
          <w:rFonts w:ascii="MS Mincho" w:eastAsia="MS Mincho" w:hAnsi="MS Mincho" w:cs="MS Mincho"/>
        </w:rPr>
      </w:pPr>
      <w:r>
        <w:rPr>
          <w:rFonts w:ascii="MS Mincho" w:eastAsia="MS Mincho" w:hAnsi="MS Mincho" w:cs="MS Mincho" w:hint="eastAsia"/>
        </w:rPr>
        <w:t>英語では</w:t>
      </w:r>
      <w:r>
        <w:rPr>
          <w:rFonts w:ascii="MS Mincho" w:eastAsia="MS Mincho" w:hAnsi="MS Mincho" w:cs="MS Mincho"/>
        </w:rPr>
        <w:t>best response</w:t>
      </w:r>
      <w:r>
        <w:rPr>
          <w:rFonts w:ascii="MS Mincho" w:eastAsia="MS Mincho" w:hAnsi="MS Mincho" w:cs="MS Mincho" w:hint="eastAsia"/>
        </w:rPr>
        <w:t xml:space="preserve"> 教科書では「最適反応」</w:t>
      </w:r>
    </w:p>
    <w:p w14:paraId="4430F764" w14:textId="77777777" w:rsidR="002F799E" w:rsidRPr="002F799E" w:rsidRDefault="002F799E" w:rsidP="002F799E">
      <w:pPr>
        <w:rPr>
          <w:rFonts w:ascii="MS Mincho" w:eastAsia="MS Mincho" w:hAnsi="MS Mincho" w:cs="MS Mincho" w:hint="eastAsia"/>
        </w:rPr>
      </w:pPr>
      <w:bookmarkStart w:id="1" w:name="_GoBack"/>
      <w:bookmarkEnd w:id="1"/>
    </w:p>
    <w:p w14:paraId="2CDF9315" w14:textId="696CD4FA" w:rsidR="00C63FFA" w:rsidRPr="00C63FFA" w:rsidRDefault="00C63FFA" w:rsidP="00C63FFA">
      <w:pPr>
        <w:rPr>
          <w:rFonts w:eastAsiaTheme="minorEastAsia"/>
        </w:rPr>
      </w:pPr>
      <w:r w:rsidRPr="00C63FFA">
        <w:rPr>
          <w:rFonts w:eastAsiaTheme="minorEastAsia"/>
        </w:rPr>
        <w:t xml:space="preserve"> </w:t>
      </w:r>
    </w:p>
    <w:p w14:paraId="37C008A2" w14:textId="77777777" w:rsidR="00A17E12" w:rsidRPr="00831DD2" w:rsidRDefault="00A17E12" w:rsidP="00A17E12"/>
    <w:sectPr w:rsidR="00A17E12" w:rsidRPr="00831DD2" w:rsidSect="00106D11">
      <w:pgSz w:w="11900" w:h="16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jake626underland" w:date="2019-10-07T13:43:00Z" w:initials="j">
    <w:p w14:paraId="5BEE693D" w14:textId="77777777" w:rsidR="00A17E12" w:rsidRPr="00A17E12" w:rsidRDefault="00A17E12" w:rsidP="00A17E12">
      <w:pPr>
        <w:pStyle w:val="NormalWeb"/>
        <w:spacing w:before="120" w:beforeAutospacing="0" w:after="120" w:afterAutospacing="0"/>
        <w:rPr>
          <w:rFonts w:ascii="Arial" w:hAnsi="Arial" w:cs="Arial"/>
          <w:color w:val="222222"/>
          <w:sz w:val="21"/>
          <w:szCs w:val="21"/>
        </w:rPr>
      </w:pPr>
      <w:r>
        <w:rPr>
          <w:rStyle w:val="CommentReference"/>
        </w:rPr>
        <w:annotationRef/>
      </w:r>
      <w:r w:rsidRPr="00A17E12">
        <w:rPr>
          <w:rFonts w:ascii="Arial" w:hAnsi="Arial" w:cs="Arial"/>
          <w:color w:val="222222"/>
          <w:sz w:val="21"/>
          <w:szCs w:val="21"/>
        </w:rPr>
        <w:br/>
        <w:t>Both Chicken and Hawk–Dove are </w:t>
      </w:r>
      <w:r w:rsidRPr="00A17E12">
        <w:rPr>
          <w:rFonts w:ascii="Arial" w:hAnsi="Arial" w:cs="Arial"/>
          <w:i/>
          <w:iCs/>
          <w:color w:val="222222"/>
          <w:sz w:val="21"/>
          <w:szCs w:val="21"/>
        </w:rPr>
        <w:t>anti-coordination games</w:t>
      </w:r>
      <w:r w:rsidRPr="00A17E12">
        <w:rPr>
          <w:rFonts w:ascii="Arial" w:hAnsi="Arial" w:cs="Arial"/>
          <w:color w:val="222222"/>
          <w:sz w:val="21"/>
          <w:szCs w:val="21"/>
        </w:rPr>
        <w:t>, in which it is mutually beneficial for the players to play different strategies. In this way, it can be thought of as the opposite of a </w:t>
      </w:r>
      <w:hyperlink r:id="rId1" w:tooltip="Coordination game" w:history="1">
        <w:r w:rsidRPr="00A17E12">
          <w:rPr>
            <w:rFonts w:ascii="Arial" w:hAnsi="Arial" w:cs="Arial"/>
            <w:color w:val="0B0080"/>
            <w:sz w:val="21"/>
            <w:szCs w:val="21"/>
          </w:rPr>
          <w:t>coordination game</w:t>
        </w:r>
      </w:hyperlink>
      <w:r w:rsidRPr="00A17E12">
        <w:rPr>
          <w:rFonts w:ascii="Arial" w:hAnsi="Arial" w:cs="Arial"/>
          <w:color w:val="222222"/>
          <w:sz w:val="21"/>
          <w:szCs w:val="21"/>
        </w:rPr>
        <w:t>, where playing the same strategy </w:t>
      </w:r>
      <w:hyperlink r:id="rId2" w:tooltip="Pareto dominance" w:history="1">
        <w:r w:rsidRPr="00A17E12">
          <w:rPr>
            <w:rFonts w:ascii="Arial" w:hAnsi="Arial" w:cs="Arial"/>
            <w:color w:val="0B0080"/>
            <w:sz w:val="21"/>
            <w:szCs w:val="21"/>
          </w:rPr>
          <w:t>Pareto dominates</w:t>
        </w:r>
      </w:hyperlink>
      <w:r w:rsidRPr="00A17E12">
        <w:rPr>
          <w:rFonts w:ascii="Arial" w:hAnsi="Arial" w:cs="Arial"/>
          <w:color w:val="222222"/>
          <w:sz w:val="21"/>
          <w:szCs w:val="21"/>
        </w:rPr>
        <w:t> playing different strategies. The underlying concept is that players use a shared resource. In coordination games, sharing the resource creates a benefit for all: the resource is </w:t>
      </w:r>
      <w:hyperlink r:id="rId3" w:tooltip="Non-rivalrous" w:history="1">
        <w:r w:rsidRPr="00A17E12">
          <w:rPr>
            <w:rFonts w:ascii="Arial" w:hAnsi="Arial" w:cs="Arial"/>
            <w:color w:val="0B0080"/>
            <w:sz w:val="21"/>
            <w:szCs w:val="21"/>
          </w:rPr>
          <w:t>non-rivalrous</w:t>
        </w:r>
      </w:hyperlink>
      <w:r w:rsidRPr="00A17E12">
        <w:rPr>
          <w:rFonts w:ascii="Arial" w:hAnsi="Arial" w:cs="Arial"/>
          <w:color w:val="222222"/>
          <w:sz w:val="21"/>
          <w:szCs w:val="21"/>
        </w:rPr>
        <w:t>, and the shared usage creates positive </w:t>
      </w:r>
      <w:hyperlink r:id="rId4" w:tooltip="Externality" w:history="1">
        <w:r w:rsidRPr="00A17E12">
          <w:rPr>
            <w:rFonts w:ascii="Arial" w:hAnsi="Arial" w:cs="Arial"/>
            <w:color w:val="0B0080"/>
            <w:sz w:val="21"/>
            <w:szCs w:val="21"/>
          </w:rPr>
          <w:t>externalities</w:t>
        </w:r>
      </w:hyperlink>
      <w:r w:rsidRPr="00A17E12">
        <w:rPr>
          <w:rFonts w:ascii="Arial" w:hAnsi="Arial" w:cs="Arial"/>
          <w:color w:val="222222"/>
          <w:sz w:val="21"/>
          <w:szCs w:val="21"/>
        </w:rPr>
        <w:t>. In anti-coordination games the resource is rivalrous but </w:t>
      </w:r>
      <w:hyperlink r:id="rId5" w:tooltip="Non-excludable good" w:history="1">
        <w:r w:rsidRPr="00A17E12">
          <w:rPr>
            <w:rFonts w:ascii="Arial" w:hAnsi="Arial" w:cs="Arial"/>
            <w:color w:val="0B0080"/>
            <w:sz w:val="21"/>
            <w:szCs w:val="21"/>
          </w:rPr>
          <w:t>non-excludable</w:t>
        </w:r>
      </w:hyperlink>
      <w:r w:rsidRPr="00A17E12">
        <w:rPr>
          <w:rFonts w:ascii="Arial" w:hAnsi="Arial" w:cs="Arial"/>
          <w:color w:val="222222"/>
          <w:sz w:val="21"/>
          <w:szCs w:val="21"/>
        </w:rPr>
        <w:t> and sharing comes at a cost (or negative externality).</w:t>
      </w:r>
    </w:p>
    <w:p w14:paraId="6448282B" w14:textId="77777777" w:rsidR="00A17E12" w:rsidRPr="00A17E12" w:rsidRDefault="00A17E12" w:rsidP="00A17E12">
      <w:pPr>
        <w:spacing w:before="120" w:after="120"/>
        <w:rPr>
          <w:rFonts w:ascii="Arial" w:hAnsi="Arial" w:cs="Arial"/>
          <w:color w:val="222222"/>
          <w:sz w:val="21"/>
          <w:szCs w:val="21"/>
        </w:rPr>
      </w:pPr>
      <w:r w:rsidRPr="00A17E12">
        <w:rPr>
          <w:rFonts w:ascii="Arial" w:hAnsi="Arial" w:cs="Arial"/>
          <w:color w:val="222222"/>
          <w:sz w:val="21"/>
          <w:szCs w:val="21"/>
        </w:rPr>
        <w:t>Because the loss of swerving is so trivial compared to the crash that occurs if nobody swerves, the reasonable strategy would seem to be to swerve before a crash is likely. Yet, knowing this, if one believes one's opponent to be reasonable, one may well decide not to swerve at all, in the belief that they will be reasonable and decide to swerve, leaving the other player the winner. This unstable situation can be formalized by saying there is more than one </w:t>
      </w:r>
      <w:hyperlink r:id="rId6" w:tooltip="Nash equilibrium" w:history="1">
        <w:r w:rsidRPr="00A17E12">
          <w:rPr>
            <w:rFonts w:ascii="Arial" w:hAnsi="Arial" w:cs="Arial"/>
            <w:color w:val="0B0080"/>
            <w:sz w:val="21"/>
            <w:szCs w:val="21"/>
          </w:rPr>
          <w:t>Nash equilibrium</w:t>
        </w:r>
      </w:hyperlink>
      <w:r w:rsidRPr="00A17E12">
        <w:rPr>
          <w:rFonts w:ascii="Arial" w:hAnsi="Arial" w:cs="Arial"/>
          <w:color w:val="222222"/>
          <w:sz w:val="21"/>
          <w:szCs w:val="21"/>
        </w:rPr>
        <w:t>, which is a pair of strategies for which neither player gains by changing their own strategy while the other stays the same. (In this case, the </w:t>
      </w:r>
      <w:hyperlink r:id="rId7" w:tooltip="Pure strategy" w:history="1">
        <w:r w:rsidRPr="00A17E12">
          <w:rPr>
            <w:rFonts w:ascii="Arial" w:hAnsi="Arial" w:cs="Arial"/>
            <w:color w:val="0B0080"/>
            <w:sz w:val="21"/>
            <w:szCs w:val="21"/>
          </w:rPr>
          <w:t>pure strategy</w:t>
        </w:r>
      </w:hyperlink>
      <w:r w:rsidRPr="00A17E12">
        <w:rPr>
          <w:rFonts w:ascii="Arial" w:hAnsi="Arial" w:cs="Arial"/>
          <w:color w:val="222222"/>
          <w:sz w:val="21"/>
          <w:szCs w:val="21"/>
        </w:rPr>
        <w:t> equilibria are the two situations wherein one player swerves while the other does not.)</w:t>
      </w:r>
    </w:p>
    <w:p w14:paraId="3F39DFC0" w14:textId="77777777" w:rsidR="00A17E12" w:rsidRPr="00A17E12" w:rsidRDefault="00A17E12" w:rsidP="00A17E12">
      <w:pPr>
        <w:spacing w:before="72"/>
        <w:outlineLvl w:val="2"/>
        <w:rPr>
          <w:rFonts w:ascii="Arial" w:hAnsi="Arial" w:cs="Arial"/>
          <w:b/>
          <w:bCs/>
          <w:color w:val="000000"/>
          <w:sz w:val="29"/>
          <w:szCs w:val="29"/>
        </w:rPr>
      </w:pPr>
      <w:r w:rsidRPr="00A17E12">
        <w:rPr>
          <w:rFonts w:ascii="Arial" w:hAnsi="Arial" w:cs="Arial"/>
          <w:b/>
          <w:bCs/>
          <w:color w:val="000000"/>
          <w:sz w:val="29"/>
          <w:szCs w:val="29"/>
        </w:rPr>
        <w:t>Hawk–dove</w:t>
      </w:r>
      <w:r w:rsidRPr="00A17E12">
        <w:rPr>
          <w:rFonts w:ascii="Arial" w:hAnsi="Arial" w:cs="Arial"/>
          <w:color w:val="54595D"/>
        </w:rPr>
        <w:t>[</w:t>
      </w:r>
      <w:hyperlink r:id="rId8" w:tooltip="Edit section: Hawk–dove" w:history="1">
        <w:r w:rsidRPr="00A17E12">
          <w:rPr>
            <w:rFonts w:ascii="Arial" w:hAnsi="Arial" w:cs="Arial"/>
            <w:color w:val="0B0080"/>
          </w:rPr>
          <w:t>edit</w:t>
        </w:r>
      </w:hyperlink>
      <w:r w:rsidRPr="00A17E12">
        <w:rPr>
          <w:rFonts w:ascii="Arial" w:hAnsi="Arial" w:cs="Arial"/>
          <w:color w:val="54595D"/>
        </w:rPr>
        <w:t>]</w:t>
      </w:r>
    </w:p>
    <w:tbl>
      <w:tblPr>
        <w:tblW w:w="3375" w:type="dxa"/>
        <w:tblCellSpacing w:w="0" w:type="dxa"/>
        <w:shd w:val="clear" w:color="auto" w:fill="FFFFFF"/>
        <w:tblCellMar>
          <w:top w:w="160" w:type="dxa"/>
          <w:left w:w="160" w:type="dxa"/>
          <w:bottom w:w="160" w:type="dxa"/>
          <w:right w:w="160" w:type="dxa"/>
        </w:tblCellMar>
        <w:tblLook w:val="04A0" w:firstRow="1" w:lastRow="0" w:firstColumn="1" w:lastColumn="0" w:noHBand="0" w:noVBand="1"/>
      </w:tblPr>
      <w:tblGrid>
        <w:gridCol w:w="861"/>
        <w:gridCol w:w="1554"/>
        <w:gridCol w:w="960"/>
      </w:tblGrid>
      <w:tr w:rsidR="00A17E12" w:rsidRPr="00A17E12" w14:paraId="7B68648C" w14:textId="77777777" w:rsidTr="00A17E12">
        <w:trPr>
          <w:tblCellSpacing w:w="0" w:type="dxa"/>
        </w:trPr>
        <w:tc>
          <w:tcPr>
            <w:tcW w:w="540" w:type="dxa"/>
            <w:shd w:val="clear" w:color="auto" w:fill="FFFFFF"/>
            <w:vAlign w:val="center"/>
            <w:hideMark/>
          </w:tcPr>
          <w:p w14:paraId="2A499255" w14:textId="77777777" w:rsidR="00A17E12" w:rsidRPr="00A17E12" w:rsidRDefault="00A17E12" w:rsidP="00A17E12">
            <w:pPr>
              <w:rPr>
                <w:rFonts w:ascii="Arial" w:hAnsi="Arial" w:cs="Arial"/>
                <w:color w:val="000000"/>
                <w:sz w:val="29"/>
                <w:szCs w:val="29"/>
              </w:rPr>
            </w:pPr>
          </w:p>
        </w:tc>
        <w:tc>
          <w:tcPr>
            <w:tcW w:w="1590" w:type="dxa"/>
            <w:tcBorders>
              <w:bottom w:val="single" w:sz="6" w:space="0" w:color="000000"/>
            </w:tcBorders>
            <w:shd w:val="clear" w:color="auto" w:fill="FFFFFF"/>
            <w:vAlign w:val="center"/>
            <w:hideMark/>
          </w:tcPr>
          <w:p w14:paraId="637F8897" w14:textId="77777777" w:rsidR="00A17E12" w:rsidRPr="00A17E12" w:rsidRDefault="00A17E12" w:rsidP="00A17E12">
            <w:pPr>
              <w:jc w:val="center"/>
              <w:rPr>
                <w:rFonts w:ascii="Arial" w:hAnsi="Arial" w:cs="Arial"/>
                <w:color w:val="222222"/>
                <w:sz w:val="21"/>
                <w:szCs w:val="21"/>
              </w:rPr>
            </w:pPr>
            <w:r w:rsidRPr="00A17E12">
              <w:rPr>
                <w:rFonts w:ascii="Arial" w:hAnsi="Arial" w:cs="Arial"/>
                <w:color w:val="222222"/>
                <w:sz w:val="21"/>
                <w:szCs w:val="21"/>
              </w:rPr>
              <w:t>Hawk</w:t>
            </w:r>
          </w:p>
        </w:tc>
        <w:tc>
          <w:tcPr>
            <w:tcW w:w="762" w:type="dxa"/>
            <w:tcBorders>
              <w:bottom w:val="single" w:sz="6" w:space="0" w:color="000000"/>
            </w:tcBorders>
            <w:shd w:val="clear" w:color="auto" w:fill="FFFFFF"/>
            <w:vAlign w:val="center"/>
            <w:hideMark/>
          </w:tcPr>
          <w:p w14:paraId="2EA7EE29" w14:textId="77777777" w:rsidR="00A17E12" w:rsidRPr="00A17E12" w:rsidRDefault="00A17E12" w:rsidP="00A17E12">
            <w:pPr>
              <w:jc w:val="center"/>
              <w:rPr>
                <w:rFonts w:ascii="Arial" w:hAnsi="Arial" w:cs="Arial"/>
                <w:color w:val="222222"/>
                <w:sz w:val="21"/>
                <w:szCs w:val="21"/>
              </w:rPr>
            </w:pPr>
            <w:r w:rsidRPr="00A17E12">
              <w:rPr>
                <w:rFonts w:ascii="Arial" w:hAnsi="Arial" w:cs="Arial"/>
                <w:color w:val="222222"/>
                <w:sz w:val="21"/>
                <w:szCs w:val="21"/>
              </w:rPr>
              <w:t>Dove</w:t>
            </w:r>
          </w:p>
        </w:tc>
      </w:tr>
      <w:tr w:rsidR="00A17E12" w:rsidRPr="00A17E12" w14:paraId="41ED3C22" w14:textId="77777777" w:rsidTr="00A17E12">
        <w:trPr>
          <w:tblCellSpacing w:w="0" w:type="dxa"/>
        </w:trPr>
        <w:tc>
          <w:tcPr>
            <w:tcW w:w="0" w:type="auto"/>
            <w:tcBorders>
              <w:right w:val="single" w:sz="6" w:space="0" w:color="000000"/>
            </w:tcBorders>
            <w:shd w:val="clear" w:color="auto" w:fill="FFFFFF"/>
            <w:vAlign w:val="center"/>
            <w:hideMark/>
          </w:tcPr>
          <w:p w14:paraId="6EE63DE7" w14:textId="77777777" w:rsidR="00A17E12" w:rsidRPr="00A17E12" w:rsidRDefault="00A17E12" w:rsidP="00A17E12">
            <w:pPr>
              <w:jc w:val="right"/>
              <w:rPr>
                <w:rFonts w:ascii="Arial" w:hAnsi="Arial" w:cs="Arial"/>
                <w:color w:val="222222"/>
                <w:sz w:val="21"/>
                <w:szCs w:val="21"/>
              </w:rPr>
            </w:pPr>
            <w:r w:rsidRPr="00A17E12">
              <w:rPr>
                <w:rFonts w:ascii="Arial" w:hAnsi="Arial" w:cs="Arial"/>
                <w:color w:val="222222"/>
                <w:sz w:val="21"/>
                <w:szCs w:val="21"/>
              </w:rPr>
              <w:t>Hawk</w:t>
            </w:r>
          </w:p>
        </w:tc>
        <w:tc>
          <w:tcPr>
            <w:tcW w:w="0" w:type="auto"/>
            <w:tcBorders>
              <w:bottom w:val="single" w:sz="6" w:space="0" w:color="000000"/>
              <w:right w:val="single" w:sz="6" w:space="0" w:color="000000"/>
            </w:tcBorders>
            <w:shd w:val="clear" w:color="auto" w:fill="FFFFFF"/>
            <w:vAlign w:val="center"/>
            <w:hideMark/>
          </w:tcPr>
          <w:p w14:paraId="11E1A841" w14:textId="77777777" w:rsidR="00A17E12" w:rsidRPr="00A17E12" w:rsidRDefault="00A17E12" w:rsidP="00A17E12">
            <w:pPr>
              <w:jc w:val="center"/>
              <w:rPr>
                <w:rFonts w:ascii="Arial" w:hAnsi="Arial" w:cs="Arial"/>
                <w:color w:val="222222"/>
                <w:sz w:val="25"/>
                <w:szCs w:val="25"/>
              </w:rPr>
            </w:pPr>
            <w:r w:rsidRPr="00A17E12">
              <w:rPr>
                <w:rFonts w:ascii="Arial" w:hAnsi="Arial" w:cs="Arial"/>
                <w:color w:val="222222"/>
                <w:sz w:val="21"/>
                <w:szCs w:val="21"/>
              </w:rPr>
              <w:t>(V−C)/2, (V−C)/2</w:t>
            </w:r>
          </w:p>
        </w:tc>
        <w:tc>
          <w:tcPr>
            <w:tcW w:w="0" w:type="auto"/>
            <w:tcBorders>
              <w:bottom w:val="single" w:sz="6" w:space="0" w:color="000000"/>
              <w:right w:val="single" w:sz="6" w:space="0" w:color="000000"/>
            </w:tcBorders>
            <w:shd w:val="clear" w:color="auto" w:fill="FFFFFF"/>
            <w:vAlign w:val="center"/>
            <w:hideMark/>
          </w:tcPr>
          <w:p w14:paraId="1900774B" w14:textId="77777777" w:rsidR="00A17E12" w:rsidRPr="00A17E12" w:rsidRDefault="00A17E12" w:rsidP="00A17E12">
            <w:pPr>
              <w:jc w:val="center"/>
              <w:rPr>
                <w:rFonts w:ascii="Arial" w:hAnsi="Arial" w:cs="Arial"/>
                <w:color w:val="222222"/>
                <w:sz w:val="25"/>
                <w:szCs w:val="25"/>
              </w:rPr>
            </w:pPr>
            <w:r w:rsidRPr="00A17E12">
              <w:rPr>
                <w:rFonts w:ascii="Arial" w:hAnsi="Arial" w:cs="Arial"/>
                <w:color w:val="222222"/>
                <w:sz w:val="21"/>
                <w:szCs w:val="21"/>
              </w:rPr>
              <w:t>V, 0</w:t>
            </w:r>
          </w:p>
        </w:tc>
      </w:tr>
      <w:tr w:rsidR="00A17E12" w:rsidRPr="00A17E12" w14:paraId="36C4AD8B" w14:textId="77777777" w:rsidTr="00A17E12">
        <w:trPr>
          <w:tblCellSpacing w:w="0" w:type="dxa"/>
        </w:trPr>
        <w:tc>
          <w:tcPr>
            <w:tcW w:w="0" w:type="auto"/>
            <w:tcBorders>
              <w:right w:val="single" w:sz="6" w:space="0" w:color="000000"/>
            </w:tcBorders>
            <w:shd w:val="clear" w:color="auto" w:fill="FFFFFF"/>
            <w:vAlign w:val="center"/>
            <w:hideMark/>
          </w:tcPr>
          <w:p w14:paraId="4528AD8E" w14:textId="77777777" w:rsidR="00A17E12" w:rsidRPr="00A17E12" w:rsidRDefault="00A17E12" w:rsidP="00A17E12">
            <w:pPr>
              <w:jc w:val="right"/>
              <w:rPr>
                <w:rFonts w:ascii="Arial" w:hAnsi="Arial" w:cs="Arial"/>
                <w:color w:val="222222"/>
                <w:sz w:val="21"/>
                <w:szCs w:val="21"/>
              </w:rPr>
            </w:pPr>
            <w:r w:rsidRPr="00A17E12">
              <w:rPr>
                <w:rFonts w:ascii="Arial" w:hAnsi="Arial" w:cs="Arial"/>
                <w:color w:val="222222"/>
                <w:sz w:val="21"/>
                <w:szCs w:val="21"/>
              </w:rPr>
              <w:t>Dove</w:t>
            </w:r>
          </w:p>
        </w:tc>
        <w:tc>
          <w:tcPr>
            <w:tcW w:w="0" w:type="auto"/>
            <w:tcBorders>
              <w:bottom w:val="single" w:sz="6" w:space="0" w:color="000000"/>
              <w:right w:val="single" w:sz="6" w:space="0" w:color="000000"/>
            </w:tcBorders>
            <w:shd w:val="clear" w:color="auto" w:fill="FFFFFF"/>
            <w:vAlign w:val="center"/>
            <w:hideMark/>
          </w:tcPr>
          <w:p w14:paraId="44970C2F" w14:textId="77777777" w:rsidR="00A17E12" w:rsidRPr="00A17E12" w:rsidRDefault="00A17E12" w:rsidP="00A17E12">
            <w:pPr>
              <w:jc w:val="center"/>
              <w:rPr>
                <w:rFonts w:ascii="Arial" w:hAnsi="Arial" w:cs="Arial"/>
                <w:color w:val="222222"/>
                <w:sz w:val="25"/>
                <w:szCs w:val="25"/>
              </w:rPr>
            </w:pPr>
            <w:r w:rsidRPr="00A17E12">
              <w:rPr>
                <w:rFonts w:ascii="Arial" w:hAnsi="Arial" w:cs="Arial"/>
                <w:color w:val="222222"/>
                <w:sz w:val="21"/>
                <w:szCs w:val="21"/>
              </w:rPr>
              <w:t>0, V</w:t>
            </w:r>
          </w:p>
        </w:tc>
        <w:tc>
          <w:tcPr>
            <w:tcW w:w="0" w:type="auto"/>
            <w:tcBorders>
              <w:bottom w:val="single" w:sz="6" w:space="0" w:color="000000"/>
              <w:right w:val="single" w:sz="6" w:space="0" w:color="000000"/>
            </w:tcBorders>
            <w:shd w:val="clear" w:color="auto" w:fill="FFFFFF"/>
            <w:vAlign w:val="center"/>
            <w:hideMark/>
          </w:tcPr>
          <w:p w14:paraId="71BB3A9E" w14:textId="77777777" w:rsidR="00A17E12" w:rsidRPr="00A17E12" w:rsidRDefault="00A17E12" w:rsidP="00A17E12">
            <w:pPr>
              <w:jc w:val="center"/>
              <w:rPr>
                <w:rFonts w:ascii="Arial" w:hAnsi="Arial" w:cs="Arial"/>
                <w:color w:val="222222"/>
                <w:sz w:val="25"/>
                <w:szCs w:val="25"/>
              </w:rPr>
            </w:pPr>
            <w:r w:rsidRPr="00A17E12">
              <w:rPr>
                <w:rFonts w:ascii="Arial" w:hAnsi="Arial" w:cs="Arial"/>
                <w:color w:val="222222"/>
                <w:sz w:val="21"/>
                <w:szCs w:val="21"/>
              </w:rPr>
              <w:t>V/2, V/2</w:t>
            </w:r>
          </w:p>
        </w:tc>
      </w:tr>
      <w:tr w:rsidR="00A17E12" w:rsidRPr="00A17E12" w14:paraId="3D65BEE1" w14:textId="77777777" w:rsidTr="00A17E12">
        <w:trPr>
          <w:tblCellSpacing w:w="0" w:type="dxa"/>
        </w:trPr>
        <w:tc>
          <w:tcPr>
            <w:tcW w:w="0" w:type="auto"/>
            <w:gridSpan w:val="3"/>
            <w:shd w:val="clear" w:color="auto" w:fill="FFFFFF"/>
            <w:vAlign w:val="center"/>
            <w:hideMark/>
          </w:tcPr>
          <w:p w14:paraId="324287F0" w14:textId="77777777" w:rsidR="00A17E12" w:rsidRPr="00A17E12" w:rsidRDefault="00A17E12" w:rsidP="00A17E12">
            <w:pPr>
              <w:jc w:val="center"/>
              <w:rPr>
                <w:rFonts w:ascii="Arial" w:hAnsi="Arial" w:cs="Arial"/>
                <w:color w:val="222222"/>
                <w:sz w:val="19"/>
                <w:szCs w:val="19"/>
              </w:rPr>
            </w:pPr>
            <w:r w:rsidRPr="00A17E12">
              <w:rPr>
                <w:rFonts w:ascii="Arial" w:hAnsi="Arial" w:cs="Arial"/>
                <w:i/>
                <w:iCs/>
                <w:color w:val="222222"/>
                <w:sz w:val="19"/>
                <w:szCs w:val="19"/>
              </w:rPr>
              <w:t>Fig. 3: Hawk–Dove game</w:t>
            </w:r>
          </w:p>
        </w:tc>
      </w:tr>
    </w:tbl>
    <w:p w14:paraId="03589C87" w14:textId="77777777" w:rsidR="00A17E12" w:rsidRPr="00A17E12" w:rsidRDefault="00A17E12" w:rsidP="00A17E12">
      <w:pPr>
        <w:rPr>
          <w:vanish/>
        </w:rPr>
      </w:pPr>
    </w:p>
    <w:tbl>
      <w:tblPr>
        <w:tblW w:w="3375" w:type="dxa"/>
        <w:tblCellSpacing w:w="0" w:type="dxa"/>
        <w:shd w:val="clear" w:color="auto" w:fill="FFFFFF"/>
        <w:tblCellMar>
          <w:top w:w="160" w:type="dxa"/>
          <w:left w:w="160" w:type="dxa"/>
          <w:bottom w:w="160" w:type="dxa"/>
          <w:right w:w="160" w:type="dxa"/>
        </w:tblCellMar>
        <w:tblLook w:val="04A0" w:firstRow="1" w:lastRow="0" w:firstColumn="1" w:lastColumn="0" w:noHBand="0" w:noVBand="1"/>
      </w:tblPr>
      <w:tblGrid>
        <w:gridCol w:w="1125"/>
        <w:gridCol w:w="1125"/>
        <w:gridCol w:w="1125"/>
      </w:tblGrid>
      <w:tr w:rsidR="00A17E12" w:rsidRPr="00A17E12" w14:paraId="529F00C0" w14:textId="77777777" w:rsidTr="00A17E12">
        <w:trPr>
          <w:tblCellSpacing w:w="0" w:type="dxa"/>
        </w:trPr>
        <w:tc>
          <w:tcPr>
            <w:tcW w:w="885" w:type="dxa"/>
            <w:shd w:val="clear" w:color="auto" w:fill="FFFFFF"/>
            <w:vAlign w:val="center"/>
            <w:hideMark/>
          </w:tcPr>
          <w:p w14:paraId="797991E6" w14:textId="77777777" w:rsidR="00A17E12" w:rsidRPr="00A17E12" w:rsidRDefault="00A17E12" w:rsidP="00A17E12"/>
        </w:tc>
        <w:tc>
          <w:tcPr>
            <w:tcW w:w="885" w:type="dxa"/>
            <w:tcBorders>
              <w:bottom w:val="single" w:sz="6" w:space="0" w:color="000000"/>
            </w:tcBorders>
            <w:shd w:val="clear" w:color="auto" w:fill="FFFFFF"/>
            <w:vAlign w:val="center"/>
            <w:hideMark/>
          </w:tcPr>
          <w:p w14:paraId="47DF20DC" w14:textId="77777777" w:rsidR="00A17E12" w:rsidRPr="00A17E12" w:rsidRDefault="00A17E12" w:rsidP="00A17E12">
            <w:pPr>
              <w:jc w:val="center"/>
              <w:rPr>
                <w:rFonts w:ascii="Arial" w:hAnsi="Arial" w:cs="Arial"/>
                <w:color w:val="222222"/>
                <w:sz w:val="21"/>
                <w:szCs w:val="21"/>
              </w:rPr>
            </w:pPr>
            <w:r w:rsidRPr="00A17E12">
              <w:rPr>
                <w:rFonts w:ascii="Arial" w:hAnsi="Arial" w:cs="Arial"/>
                <w:color w:val="222222"/>
                <w:sz w:val="21"/>
                <w:szCs w:val="21"/>
              </w:rPr>
              <w:t>Hawk</w:t>
            </w:r>
          </w:p>
        </w:tc>
        <w:tc>
          <w:tcPr>
            <w:tcW w:w="885" w:type="dxa"/>
            <w:tcBorders>
              <w:bottom w:val="single" w:sz="6" w:space="0" w:color="000000"/>
            </w:tcBorders>
            <w:shd w:val="clear" w:color="auto" w:fill="FFFFFF"/>
            <w:vAlign w:val="center"/>
            <w:hideMark/>
          </w:tcPr>
          <w:p w14:paraId="55FC7EF2" w14:textId="77777777" w:rsidR="00A17E12" w:rsidRPr="00A17E12" w:rsidRDefault="00A17E12" w:rsidP="00A17E12">
            <w:pPr>
              <w:jc w:val="center"/>
              <w:rPr>
                <w:rFonts w:ascii="Arial" w:hAnsi="Arial" w:cs="Arial"/>
                <w:color w:val="222222"/>
                <w:sz w:val="21"/>
                <w:szCs w:val="21"/>
              </w:rPr>
            </w:pPr>
            <w:r w:rsidRPr="00A17E12">
              <w:rPr>
                <w:rFonts w:ascii="Arial" w:hAnsi="Arial" w:cs="Arial"/>
                <w:color w:val="222222"/>
                <w:sz w:val="21"/>
                <w:szCs w:val="21"/>
              </w:rPr>
              <w:t>Dove</w:t>
            </w:r>
          </w:p>
        </w:tc>
      </w:tr>
      <w:tr w:rsidR="00A17E12" w:rsidRPr="00A17E12" w14:paraId="77747A10" w14:textId="77777777" w:rsidTr="00A17E12">
        <w:trPr>
          <w:tblCellSpacing w:w="0" w:type="dxa"/>
        </w:trPr>
        <w:tc>
          <w:tcPr>
            <w:tcW w:w="0" w:type="auto"/>
            <w:tcBorders>
              <w:right w:val="single" w:sz="6" w:space="0" w:color="000000"/>
            </w:tcBorders>
            <w:shd w:val="clear" w:color="auto" w:fill="FFFFFF"/>
            <w:vAlign w:val="center"/>
            <w:hideMark/>
          </w:tcPr>
          <w:p w14:paraId="38ECA2BD" w14:textId="77777777" w:rsidR="00A17E12" w:rsidRPr="00A17E12" w:rsidRDefault="00A17E12" w:rsidP="00A17E12">
            <w:pPr>
              <w:jc w:val="right"/>
              <w:rPr>
                <w:rFonts w:ascii="Arial" w:hAnsi="Arial" w:cs="Arial"/>
                <w:color w:val="222222"/>
                <w:sz w:val="21"/>
                <w:szCs w:val="21"/>
              </w:rPr>
            </w:pPr>
            <w:r w:rsidRPr="00A17E12">
              <w:rPr>
                <w:rFonts w:ascii="Arial" w:hAnsi="Arial" w:cs="Arial"/>
                <w:color w:val="222222"/>
                <w:sz w:val="21"/>
                <w:szCs w:val="21"/>
              </w:rPr>
              <w:t>Hawk</w:t>
            </w:r>
          </w:p>
        </w:tc>
        <w:tc>
          <w:tcPr>
            <w:tcW w:w="0" w:type="auto"/>
            <w:tcBorders>
              <w:bottom w:val="single" w:sz="6" w:space="0" w:color="000000"/>
              <w:right w:val="single" w:sz="6" w:space="0" w:color="000000"/>
            </w:tcBorders>
            <w:shd w:val="clear" w:color="auto" w:fill="FFFFFF"/>
            <w:vAlign w:val="center"/>
            <w:hideMark/>
          </w:tcPr>
          <w:p w14:paraId="692BF018" w14:textId="77777777" w:rsidR="00A17E12" w:rsidRPr="00A17E12" w:rsidRDefault="00A17E12" w:rsidP="00A17E12">
            <w:pPr>
              <w:jc w:val="center"/>
              <w:rPr>
                <w:rFonts w:ascii="Arial" w:hAnsi="Arial" w:cs="Arial"/>
                <w:color w:val="222222"/>
                <w:sz w:val="25"/>
                <w:szCs w:val="25"/>
              </w:rPr>
            </w:pPr>
            <w:r w:rsidRPr="00A17E12">
              <w:rPr>
                <w:rFonts w:ascii="Arial" w:hAnsi="Arial" w:cs="Arial"/>
                <w:color w:val="222222"/>
                <w:sz w:val="25"/>
                <w:szCs w:val="25"/>
              </w:rPr>
              <w:t>X, X</w:t>
            </w:r>
          </w:p>
        </w:tc>
        <w:tc>
          <w:tcPr>
            <w:tcW w:w="0" w:type="auto"/>
            <w:tcBorders>
              <w:bottom w:val="single" w:sz="6" w:space="0" w:color="000000"/>
              <w:right w:val="single" w:sz="6" w:space="0" w:color="000000"/>
            </w:tcBorders>
            <w:shd w:val="clear" w:color="auto" w:fill="FFFFFF"/>
            <w:vAlign w:val="center"/>
            <w:hideMark/>
          </w:tcPr>
          <w:p w14:paraId="55A6B4D7" w14:textId="77777777" w:rsidR="00A17E12" w:rsidRPr="00A17E12" w:rsidRDefault="00A17E12" w:rsidP="00A17E12">
            <w:pPr>
              <w:jc w:val="center"/>
              <w:rPr>
                <w:rFonts w:ascii="Arial" w:hAnsi="Arial" w:cs="Arial"/>
                <w:color w:val="222222"/>
                <w:sz w:val="25"/>
                <w:szCs w:val="25"/>
              </w:rPr>
            </w:pPr>
            <w:r w:rsidRPr="00A17E12">
              <w:rPr>
                <w:rFonts w:ascii="Arial" w:hAnsi="Arial" w:cs="Arial"/>
                <w:color w:val="222222"/>
                <w:sz w:val="25"/>
                <w:szCs w:val="25"/>
              </w:rPr>
              <w:t>W, L</w:t>
            </w:r>
          </w:p>
        </w:tc>
      </w:tr>
      <w:tr w:rsidR="00A17E12" w:rsidRPr="00A17E12" w14:paraId="43F1A674" w14:textId="77777777" w:rsidTr="00A17E12">
        <w:trPr>
          <w:tblCellSpacing w:w="0" w:type="dxa"/>
        </w:trPr>
        <w:tc>
          <w:tcPr>
            <w:tcW w:w="0" w:type="auto"/>
            <w:tcBorders>
              <w:right w:val="single" w:sz="6" w:space="0" w:color="000000"/>
            </w:tcBorders>
            <w:shd w:val="clear" w:color="auto" w:fill="FFFFFF"/>
            <w:vAlign w:val="center"/>
            <w:hideMark/>
          </w:tcPr>
          <w:p w14:paraId="4A7BAF79" w14:textId="77777777" w:rsidR="00A17E12" w:rsidRPr="00A17E12" w:rsidRDefault="00A17E12" w:rsidP="00A17E12">
            <w:pPr>
              <w:jc w:val="right"/>
              <w:rPr>
                <w:rFonts w:ascii="Arial" w:hAnsi="Arial" w:cs="Arial"/>
                <w:color w:val="222222"/>
                <w:sz w:val="21"/>
                <w:szCs w:val="21"/>
              </w:rPr>
            </w:pPr>
            <w:r w:rsidRPr="00A17E12">
              <w:rPr>
                <w:rFonts w:ascii="Arial" w:hAnsi="Arial" w:cs="Arial"/>
                <w:color w:val="222222"/>
                <w:sz w:val="21"/>
                <w:szCs w:val="21"/>
              </w:rPr>
              <w:t>Dove</w:t>
            </w:r>
          </w:p>
        </w:tc>
        <w:tc>
          <w:tcPr>
            <w:tcW w:w="0" w:type="auto"/>
            <w:tcBorders>
              <w:bottom w:val="single" w:sz="6" w:space="0" w:color="000000"/>
              <w:right w:val="single" w:sz="6" w:space="0" w:color="000000"/>
            </w:tcBorders>
            <w:shd w:val="clear" w:color="auto" w:fill="FFFFFF"/>
            <w:vAlign w:val="center"/>
            <w:hideMark/>
          </w:tcPr>
          <w:p w14:paraId="060791F2" w14:textId="77777777" w:rsidR="00A17E12" w:rsidRPr="00A17E12" w:rsidRDefault="00A17E12" w:rsidP="00A17E12">
            <w:pPr>
              <w:jc w:val="center"/>
              <w:rPr>
                <w:rFonts w:ascii="Arial" w:hAnsi="Arial" w:cs="Arial"/>
                <w:color w:val="222222"/>
                <w:sz w:val="25"/>
                <w:szCs w:val="25"/>
              </w:rPr>
            </w:pPr>
            <w:r w:rsidRPr="00A17E12">
              <w:rPr>
                <w:rFonts w:ascii="Arial" w:hAnsi="Arial" w:cs="Arial"/>
                <w:color w:val="222222"/>
                <w:sz w:val="25"/>
                <w:szCs w:val="25"/>
              </w:rPr>
              <w:t>L, W</w:t>
            </w:r>
          </w:p>
        </w:tc>
        <w:tc>
          <w:tcPr>
            <w:tcW w:w="0" w:type="auto"/>
            <w:tcBorders>
              <w:bottom w:val="single" w:sz="6" w:space="0" w:color="000000"/>
              <w:right w:val="single" w:sz="6" w:space="0" w:color="000000"/>
            </w:tcBorders>
            <w:shd w:val="clear" w:color="auto" w:fill="FFFFFF"/>
            <w:vAlign w:val="center"/>
            <w:hideMark/>
          </w:tcPr>
          <w:p w14:paraId="6B76B459" w14:textId="77777777" w:rsidR="00A17E12" w:rsidRPr="00A17E12" w:rsidRDefault="00A17E12" w:rsidP="00A17E12">
            <w:pPr>
              <w:jc w:val="center"/>
              <w:rPr>
                <w:rFonts w:ascii="Arial" w:hAnsi="Arial" w:cs="Arial"/>
                <w:color w:val="222222"/>
                <w:sz w:val="25"/>
                <w:szCs w:val="25"/>
              </w:rPr>
            </w:pPr>
            <w:r w:rsidRPr="00A17E12">
              <w:rPr>
                <w:rFonts w:ascii="Arial" w:hAnsi="Arial" w:cs="Arial"/>
                <w:color w:val="222222"/>
                <w:sz w:val="25"/>
                <w:szCs w:val="25"/>
              </w:rPr>
              <w:t>T, T</w:t>
            </w:r>
          </w:p>
        </w:tc>
      </w:tr>
      <w:tr w:rsidR="00A17E12" w:rsidRPr="00A17E12" w14:paraId="0CDA2C9E" w14:textId="77777777" w:rsidTr="00A17E12">
        <w:trPr>
          <w:tblCellSpacing w:w="0" w:type="dxa"/>
        </w:trPr>
        <w:tc>
          <w:tcPr>
            <w:tcW w:w="0" w:type="auto"/>
            <w:gridSpan w:val="3"/>
            <w:shd w:val="clear" w:color="auto" w:fill="FFFFFF"/>
            <w:vAlign w:val="center"/>
            <w:hideMark/>
          </w:tcPr>
          <w:p w14:paraId="288B8E2D" w14:textId="77777777" w:rsidR="00A17E12" w:rsidRPr="00A17E12" w:rsidRDefault="00A17E12" w:rsidP="00A17E12">
            <w:pPr>
              <w:jc w:val="center"/>
              <w:rPr>
                <w:rFonts w:ascii="Arial" w:hAnsi="Arial" w:cs="Arial"/>
                <w:color w:val="222222"/>
                <w:sz w:val="19"/>
                <w:szCs w:val="19"/>
              </w:rPr>
            </w:pPr>
            <w:r w:rsidRPr="00A17E12">
              <w:rPr>
                <w:rFonts w:ascii="Arial" w:hAnsi="Arial" w:cs="Arial"/>
                <w:i/>
                <w:iCs/>
                <w:color w:val="222222"/>
                <w:sz w:val="19"/>
                <w:szCs w:val="19"/>
              </w:rPr>
              <w:t>Fig. 4: General Hawk–Dove game</w:t>
            </w:r>
          </w:p>
        </w:tc>
      </w:tr>
    </w:tbl>
    <w:p w14:paraId="28EE5BD4" w14:textId="77777777" w:rsidR="00A17E12" w:rsidRPr="00A17E12" w:rsidRDefault="00A17E12" w:rsidP="00A17E12">
      <w:pPr>
        <w:rPr>
          <w:rFonts w:ascii="Arial" w:hAnsi="Arial" w:cs="Arial"/>
          <w:i/>
          <w:iCs/>
          <w:color w:val="222222"/>
          <w:sz w:val="21"/>
          <w:szCs w:val="21"/>
        </w:rPr>
      </w:pPr>
      <w:r w:rsidRPr="00A17E12">
        <w:rPr>
          <w:rFonts w:ascii="Arial" w:hAnsi="Arial" w:cs="Arial"/>
          <w:i/>
          <w:iCs/>
          <w:color w:val="222222"/>
          <w:sz w:val="21"/>
          <w:szCs w:val="21"/>
        </w:rPr>
        <w:t>Main article: </w:t>
      </w:r>
      <w:hyperlink r:id="rId9" w:tooltip="Evolutionary game theory" w:history="1">
        <w:r w:rsidRPr="00A17E12">
          <w:rPr>
            <w:rFonts w:ascii="Arial" w:hAnsi="Arial" w:cs="Arial"/>
            <w:i/>
            <w:iCs/>
            <w:color w:val="0B0080"/>
            <w:sz w:val="21"/>
            <w:szCs w:val="21"/>
          </w:rPr>
          <w:t>Evolutionary game theory</w:t>
        </w:r>
      </w:hyperlink>
    </w:p>
    <w:p w14:paraId="5B4590DB" w14:textId="77777777" w:rsidR="00A17E12" w:rsidRPr="00A17E12" w:rsidRDefault="00A17E12" w:rsidP="00A17E12">
      <w:pPr>
        <w:spacing w:before="120" w:after="120"/>
        <w:rPr>
          <w:rFonts w:ascii="Arial" w:hAnsi="Arial" w:cs="Arial"/>
          <w:color w:val="222222"/>
          <w:sz w:val="21"/>
          <w:szCs w:val="21"/>
        </w:rPr>
      </w:pPr>
      <w:r w:rsidRPr="00A17E12">
        <w:rPr>
          <w:rFonts w:ascii="Arial" w:hAnsi="Arial" w:cs="Arial"/>
          <w:color w:val="222222"/>
          <w:sz w:val="21"/>
          <w:szCs w:val="21"/>
        </w:rPr>
        <w:t>In </w:t>
      </w:r>
      <w:hyperlink r:id="rId10" w:tooltip="Evolutionary game theory" w:history="1">
        <w:r w:rsidRPr="00A17E12">
          <w:rPr>
            <w:rFonts w:ascii="Arial" w:hAnsi="Arial" w:cs="Arial"/>
            <w:color w:val="0B0080"/>
            <w:sz w:val="21"/>
            <w:szCs w:val="21"/>
          </w:rPr>
          <w:t>the biological literature</w:t>
        </w:r>
      </w:hyperlink>
      <w:r w:rsidRPr="00A17E12">
        <w:rPr>
          <w:rFonts w:ascii="Arial" w:hAnsi="Arial" w:cs="Arial"/>
          <w:color w:val="222222"/>
          <w:sz w:val="21"/>
          <w:szCs w:val="21"/>
        </w:rPr>
        <w:t>, this game is known as Hawk–Dove. The earliest presentation of a form of the Hawk–Dove game was by </w:t>
      </w:r>
      <w:hyperlink r:id="rId11" w:tooltip="John Maynard Smith" w:history="1">
        <w:r w:rsidRPr="00A17E12">
          <w:rPr>
            <w:rFonts w:ascii="Arial" w:hAnsi="Arial" w:cs="Arial"/>
            <w:color w:val="0B0080"/>
            <w:sz w:val="21"/>
            <w:szCs w:val="21"/>
          </w:rPr>
          <w:t>John Maynard Smith</w:t>
        </w:r>
      </w:hyperlink>
      <w:r w:rsidRPr="00A17E12">
        <w:rPr>
          <w:rFonts w:ascii="Arial" w:hAnsi="Arial" w:cs="Arial"/>
          <w:color w:val="222222"/>
          <w:sz w:val="21"/>
          <w:szCs w:val="21"/>
        </w:rPr>
        <w:t> and </w:t>
      </w:r>
      <w:hyperlink r:id="rId12" w:tooltip="George R. Price" w:history="1">
        <w:r w:rsidRPr="00A17E12">
          <w:rPr>
            <w:rFonts w:ascii="Arial" w:hAnsi="Arial" w:cs="Arial"/>
            <w:color w:val="0B0080"/>
            <w:sz w:val="21"/>
            <w:szCs w:val="21"/>
          </w:rPr>
          <w:t>George Price</w:t>
        </w:r>
      </w:hyperlink>
      <w:r w:rsidRPr="00A17E12">
        <w:rPr>
          <w:rFonts w:ascii="Arial" w:hAnsi="Arial" w:cs="Arial"/>
          <w:color w:val="222222"/>
          <w:sz w:val="21"/>
          <w:szCs w:val="21"/>
        </w:rPr>
        <w:t> in their paper, "The logic of animal conflict".</w:t>
      </w:r>
      <w:hyperlink r:id="rId13" w:anchor="cite_note-7" w:history="1">
        <w:r w:rsidRPr="00A17E12">
          <w:rPr>
            <w:rFonts w:ascii="Arial" w:hAnsi="Arial" w:cs="Arial"/>
            <w:color w:val="0B0080"/>
            <w:sz w:val="17"/>
            <w:szCs w:val="17"/>
            <w:vertAlign w:val="superscript"/>
          </w:rPr>
          <w:t>[7]</w:t>
        </w:r>
      </w:hyperlink>
      <w:r w:rsidRPr="00A17E12">
        <w:rPr>
          <w:rFonts w:ascii="Arial" w:hAnsi="Arial" w:cs="Arial"/>
          <w:color w:val="222222"/>
          <w:sz w:val="21"/>
          <w:szCs w:val="21"/>
        </w:rPr>
        <w:t> The traditional </w:t>
      </w:r>
      <w:hyperlink r:id="rId14" w:anchor="cite_note-JMS&amp;P76-5" w:history="1">
        <w:r w:rsidRPr="00A17E12">
          <w:rPr>
            <w:rFonts w:ascii="Arial" w:hAnsi="Arial" w:cs="Arial"/>
            <w:color w:val="0B0080"/>
            <w:sz w:val="17"/>
            <w:szCs w:val="17"/>
            <w:vertAlign w:val="superscript"/>
          </w:rPr>
          <w:t>[5]</w:t>
        </w:r>
      </w:hyperlink>
      <w:hyperlink r:id="rId15" w:anchor="cite_note-JMS82-8" w:history="1">
        <w:r w:rsidRPr="00A17E12">
          <w:rPr>
            <w:rFonts w:ascii="Arial" w:hAnsi="Arial" w:cs="Arial"/>
            <w:color w:val="0B0080"/>
            <w:sz w:val="17"/>
            <w:szCs w:val="17"/>
            <w:vertAlign w:val="superscript"/>
          </w:rPr>
          <w:t>[8]</w:t>
        </w:r>
      </w:hyperlink>
      <w:r w:rsidRPr="00A17E12">
        <w:rPr>
          <w:rFonts w:ascii="Arial" w:hAnsi="Arial" w:cs="Arial"/>
          <w:color w:val="222222"/>
          <w:sz w:val="21"/>
          <w:szCs w:val="21"/>
        </w:rPr>
        <w:t> </w:t>
      </w:r>
      <w:hyperlink r:id="rId16" w:tooltip="Payoff matrix" w:history="1">
        <w:r w:rsidRPr="00A17E12">
          <w:rPr>
            <w:rFonts w:ascii="Arial" w:hAnsi="Arial" w:cs="Arial"/>
            <w:color w:val="0B0080"/>
            <w:sz w:val="21"/>
            <w:szCs w:val="21"/>
          </w:rPr>
          <w:t>payoff matrix</w:t>
        </w:r>
      </w:hyperlink>
      <w:r w:rsidRPr="00A17E12">
        <w:rPr>
          <w:rFonts w:ascii="Arial" w:hAnsi="Arial" w:cs="Arial"/>
          <w:color w:val="222222"/>
          <w:sz w:val="21"/>
          <w:szCs w:val="21"/>
        </w:rPr>
        <w:t> for the Hawk–Dove game is given in Figure 3, where V is the value of the contested resource, and C is the cost of an escalated fight. It is (almost always) assumed that the value of the resource is less than the cost of a fight, i.e., C &gt; V &gt; 0. If C ≤ V, the resulting game is not a game of Chicken but is instead a </w:t>
      </w:r>
      <w:hyperlink r:id="rId17" w:tooltip="Prisoner's Dilemma" w:history="1">
        <w:r w:rsidRPr="00A17E12">
          <w:rPr>
            <w:rFonts w:ascii="Arial" w:hAnsi="Arial" w:cs="Arial"/>
            <w:color w:val="0B0080"/>
            <w:sz w:val="21"/>
            <w:szCs w:val="21"/>
          </w:rPr>
          <w:t>Prisoner's Dilemma</w:t>
        </w:r>
      </w:hyperlink>
      <w:r w:rsidRPr="00A17E12">
        <w:rPr>
          <w:rFonts w:ascii="Arial" w:hAnsi="Arial" w:cs="Arial"/>
          <w:color w:val="222222"/>
          <w:sz w:val="21"/>
          <w:szCs w:val="21"/>
        </w:rPr>
        <w:t>.</w:t>
      </w:r>
    </w:p>
    <w:p w14:paraId="16D30E48" w14:textId="08C40480" w:rsidR="00A17E12" w:rsidRPr="00A17E12" w:rsidRDefault="00A17E12" w:rsidP="00A17E12">
      <w:pPr>
        <w:shd w:val="clear" w:color="auto" w:fill="F8F9FA"/>
        <w:jc w:val="center"/>
        <w:rPr>
          <w:rFonts w:ascii="Arial" w:hAnsi="Arial" w:cs="Arial"/>
          <w:color w:val="222222"/>
          <w:sz w:val="20"/>
          <w:szCs w:val="20"/>
        </w:rPr>
      </w:pPr>
      <w:r w:rsidRPr="00A17E12">
        <w:rPr>
          <w:rFonts w:ascii="Arial" w:hAnsi="Arial" w:cs="Arial"/>
          <w:noProof/>
          <w:color w:val="0B0080"/>
          <w:sz w:val="20"/>
          <w:szCs w:val="20"/>
        </w:rPr>
        <w:drawing>
          <wp:inline distT="0" distB="0" distL="0" distR="0" wp14:anchorId="5E78D0C8" wp14:editId="41417F78">
            <wp:extent cx="2794635" cy="2096135"/>
            <wp:effectExtent l="0" t="0" r="0" b="0"/>
            <wp:docPr id="7" name="Picture 7" descr="A screenshot of a computer&#10;&#10;Description automatically generated">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94635" cy="2096135"/>
                    </a:xfrm>
                    <a:prstGeom prst="rect">
                      <a:avLst/>
                    </a:prstGeom>
                    <a:noFill/>
                    <a:ln>
                      <a:noFill/>
                    </a:ln>
                  </pic:spPr>
                </pic:pic>
              </a:graphicData>
            </a:graphic>
          </wp:inline>
        </w:drawing>
      </w:r>
    </w:p>
    <w:p w14:paraId="39D7A923" w14:textId="77777777" w:rsidR="00A17E12" w:rsidRPr="00A17E12" w:rsidRDefault="00A17E12" w:rsidP="00A17E12">
      <w:pPr>
        <w:shd w:val="clear" w:color="auto" w:fill="F8F9FA"/>
        <w:spacing w:line="336" w:lineRule="atLeast"/>
        <w:rPr>
          <w:rFonts w:ascii="Arial" w:hAnsi="Arial" w:cs="Arial"/>
          <w:color w:val="222222"/>
          <w:sz w:val="19"/>
          <w:szCs w:val="19"/>
        </w:rPr>
      </w:pPr>
      <w:r w:rsidRPr="00A17E12">
        <w:rPr>
          <w:rFonts w:ascii="Arial" w:hAnsi="Arial" w:cs="Arial"/>
          <w:color w:val="222222"/>
          <w:sz w:val="19"/>
          <w:szCs w:val="19"/>
        </w:rPr>
        <w:t>Hawk–Dove transforming into Prisoner's Dilemma. As C becomes smaller than V, the mixed strategy equilibrium moves to the pure strategy equilibrium of both players playing hawk (see </w:t>
      </w:r>
      <w:hyperlink r:id="rId20" w:anchor="Replicator_dynamics" w:history="1">
        <w:r w:rsidRPr="00A17E12">
          <w:rPr>
            <w:rFonts w:ascii="Arial" w:hAnsi="Arial" w:cs="Arial"/>
            <w:color w:val="0B0080"/>
            <w:sz w:val="19"/>
            <w:szCs w:val="19"/>
          </w:rPr>
          <w:t>Replicator dynamics</w:t>
        </w:r>
      </w:hyperlink>
      <w:r w:rsidRPr="00A17E12">
        <w:rPr>
          <w:rFonts w:ascii="Arial" w:hAnsi="Arial" w:cs="Arial"/>
          <w:color w:val="222222"/>
          <w:sz w:val="19"/>
          <w:szCs w:val="19"/>
        </w:rPr>
        <w:t>).</w:t>
      </w:r>
    </w:p>
    <w:p w14:paraId="21807A69" w14:textId="77777777" w:rsidR="00A17E12" w:rsidRPr="00A17E12" w:rsidRDefault="00A17E12" w:rsidP="00A17E12">
      <w:pPr>
        <w:spacing w:before="120" w:after="120"/>
        <w:rPr>
          <w:rFonts w:ascii="Arial" w:hAnsi="Arial" w:cs="Arial"/>
          <w:color w:val="222222"/>
          <w:sz w:val="21"/>
          <w:szCs w:val="21"/>
        </w:rPr>
      </w:pPr>
      <w:r w:rsidRPr="00A17E12">
        <w:rPr>
          <w:rFonts w:ascii="Arial" w:hAnsi="Arial" w:cs="Arial"/>
          <w:color w:val="222222"/>
          <w:sz w:val="21"/>
          <w:szCs w:val="21"/>
        </w:rPr>
        <w:t>The exact value of the Dove vs. Dove payoff varies between model formulations. Sometimes the players are assumed to split the payoff equally (V/2 each), other times the payoff is assumed to be zero (since this is the expected payoff to a </w:t>
      </w:r>
      <w:hyperlink r:id="rId21" w:tooltip="War of attrition (game)" w:history="1">
        <w:r w:rsidRPr="00A17E12">
          <w:rPr>
            <w:rFonts w:ascii="Arial" w:hAnsi="Arial" w:cs="Arial"/>
            <w:color w:val="0B0080"/>
            <w:sz w:val="21"/>
            <w:szCs w:val="21"/>
          </w:rPr>
          <w:t>war of attrition</w:t>
        </w:r>
      </w:hyperlink>
      <w:r w:rsidRPr="00A17E12">
        <w:rPr>
          <w:rFonts w:ascii="Arial" w:hAnsi="Arial" w:cs="Arial"/>
          <w:color w:val="222222"/>
          <w:sz w:val="21"/>
          <w:szCs w:val="21"/>
        </w:rPr>
        <w:t> game, which is the presumed models for a contest decided by display duration).</w:t>
      </w:r>
    </w:p>
    <w:p w14:paraId="58E4C7B0" w14:textId="77777777" w:rsidR="00A17E12" w:rsidRPr="00A17E12" w:rsidRDefault="00A17E12" w:rsidP="00A17E12">
      <w:pPr>
        <w:spacing w:before="120" w:after="120"/>
        <w:rPr>
          <w:rFonts w:ascii="Arial" w:hAnsi="Arial" w:cs="Arial"/>
          <w:color w:val="222222"/>
          <w:sz w:val="21"/>
          <w:szCs w:val="21"/>
        </w:rPr>
      </w:pPr>
      <w:r w:rsidRPr="00A17E12">
        <w:rPr>
          <w:rFonts w:ascii="Arial" w:hAnsi="Arial" w:cs="Arial"/>
          <w:color w:val="222222"/>
          <w:sz w:val="21"/>
          <w:szCs w:val="21"/>
        </w:rPr>
        <w:t>While the Hawk–Dove game is typically taught and discussed with the payoffs in terms of V and C, the solutions hold true for any matrix with the payoffs in Figure 4, where W &gt; T &gt; L &gt; X.</w:t>
      </w:r>
      <w:hyperlink r:id="rId22" w:anchor="cite_note-JMS82-8" w:history="1">
        <w:r w:rsidRPr="00A17E12">
          <w:rPr>
            <w:rFonts w:ascii="Arial" w:hAnsi="Arial" w:cs="Arial"/>
            <w:color w:val="0B0080"/>
            <w:sz w:val="17"/>
            <w:szCs w:val="17"/>
            <w:vertAlign w:val="superscript"/>
          </w:rPr>
          <w:t>[8]</w:t>
        </w:r>
      </w:hyperlink>
    </w:p>
    <w:p w14:paraId="15D8DE14" w14:textId="3BCC536C" w:rsidR="00A17E12" w:rsidRDefault="00A17E12">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5D8DE1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5D8DE14" w16cid:durableId="2145BF9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E1DDC"/>
    <w:multiLevelType w:val="hybridMultilevel"/>
    <w:tmpl w:val="608E8A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7842A1"/>
    <w:multiLevelType w:val="hybridMultilevel"/>
    <w:tmpl w:val="CDA4A2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5C42E9"/>
    <w:multiLevelType w:val="hybridMultilevel"/>
    <w:tmpl w:val="50D2E2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5219C6"/>
    <w:multiLevelType w:val="hybridMultilevel"/>
    <w:tmpl w:val="F35816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535A36"/>
    <w:multiLevelType w:val="hybridMultilevel"/>
    <w:tmpl w:val="25988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5D0FE9"/>
    <w:multiLevelType w:val="hybridMultilevel"/>
    <w:tmpl w:val="00D2C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AA05173"/>
    <w:multiLevelType w:val="hybridMultilevel"/>
    <w:tmpl w:val="018A86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B4B4015"/>
    <w:multiLevelType w:val="hybridMultilevel"/>
    <w:tmpl w:val="747C4F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2C22FA0"/>
    <w:multiLevelType w:val="hybridMultilevel"/>
    <w:tmpl w:val="6E9270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FC965C3"/>
    <w:multiLevelType w:val="hybridMultilevel"/>
    <w:tmpl w:val="62E2D7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C375B1B"/>
    <w:multiLevelType w:val="hybridMultilevel"/>
    <w:tmpl w:val="C0389A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1691D0B"/>
    <w:multiLevelType w:val="hybridMultilevel"/>
    <w:tmpl w:val="CE94AD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5"/>
  </w:num>
  <w:num w:numId="3">
    <w:abstractNumId w:val="8"/>
  </w:num>
  <w:num w:numId="4">
    <w:abstractNumId w:val="4"/>
  </w:num>
  <w:num w:numId="5">
    <w:abstractNumId w:val="9"/>
  </w:num>
  <w:num w:numId="6">
    <w:abstractNumId w:val="7"/>
  </w:num>
  <w:num w:numId="7">
    <w:abstractNumId w:val="1"/>
  </w:num>
  <w:num w:numId="8">
    <w:abstractNumId w:val="11"/>
  </w:num>
  <w:num w:numId="9">
    <w:abstractNumId w:val="0"/>
  </w:num>
  <w:num w:numId="10">
    <w:abstractNumId w:val="6"/>
  </w:num>
  <w:num w:numId="11">
    <w:abstractNumId w:val="2"/>
  </w:num>
  <w:num w:numId="12">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ake626underland">
    <w15:presenceInfo w15:providerId="AD" w15:userId="S::jake626underland@o365.waseda.jp::317cc8e0-bccb-4db0-9cf6-21845b8cc16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789A"/>
    <w:rsid w:val="0005789A"/>
    <w:rsid w:val="00106D11"/>
    <w:rsid w:val="00217DE1"/>
    <w:rsid w:val="002F799E"/>
    <w:rsid w:val="00831DD2"/>
    <w:rsid w:val="00A1685E"/>
    <w:rsid w:val="00A17E12"/>
    <w:rsid w:val="00C63FFA"/>
    <w:rsid w:val="00D1213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12E9E35F"/>
  <w15:chartTrackingRefBased/>
  <w15:docId w15:val="{E99D2A4B-7679-894B-A64E-7F6C8F9B57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A17E12"/>
    <w:rPr>
      <w:rFonts w:ascii="Times New Roman" w:eastAsia="Times New Roman" w:hAnsi="Times New Roman" w:cs="Times New Roman"/>
    </w:rPr>
  </w:style>
  <w:style w:type="paragraph" w:styleId="Heading3">
    <w:name w:val="heading 3"/>
    <w:basedOn w:val="Normal"/>
    <w:link w:val="Heading3Char"/>
    <w:uiPriority w:val="9"/>
    <w:qFormat/>
    <w:rsid w:val="00A17E12"/>
    <w:pPr>
      <w:spacing w:before="100" w:beforeAutospacing="1" w:after="100" w:afterAutospacing="1"/>
      <w:outlineLvl w:val="2"/>
    </w:pPr>
    <w:rPr>
      <w:b/>
      <w:bCs/>
      <w:sz w:val="27"/>
      <w:szCs w:val="27"/>
    </w:rPr>
  </w:style>
  <w:style w:type="paragraph" w:styleId="Heading4">
    <w:name w:val="heading 4"/>
    <w:basedOn w:val="Normal"/>
    <w:link w:val="Heading4Char"/>
    <w:uiPriority w:val="9"/>
    <w:qFormat/>
    <w:rsid w:val="00A17E12"/>
    <w:pPr>
      <w:spacing w:before="100" w:beforeAutospacing="1" w:after="100" w:afterAutospacing="1"/>
      <w:outlineLvl w:val="3"/>
    </w:pPr>
    <w:rPr>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789A"/>
    <w:pPr>
      <w:ind w:left="720"/>
      <w:contextualSpacing/>
    </w:pPr>
    <w:rPr>
      <w:rFonts w:asciiTheme="minorHAnsi" w:eastAsiaTheme="minorEastAsia" w:hAnsiTheme="minorHAnsi" w:cstheme="minorBidi"/>
    </w:rPr>
  </w:style>
  <w:style w:type="table" w:styleId="TableGrid">
    <w:name w:val="Table Grid"/>
    <w:basedOn w:val="TableNormal"/>
    <w:uiPriority w:val="39"/>
    <w:rsid w:val="000578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A17E12"/>
    <w:rPr>
      <w:sz w:val="16"/>
      <w:szCs w:val="16"/>
    </w:rPr>
  </w:style>
  <w:style w:type="paragraph" w:styleId="CommentText">
    <w:name w:val="annotation text"/>
    <w:basedOn w:val="Normal"/>
    <w:link w:val="CommentTextChar"/>
    <w:uiPriority w:val="99"/>
    <w:semiHidden/>
    <w:unhideWhenUsed/>
    <w:rsid w:val="00A17E12"/>
    <w:rPr>
      <w:rFonts w:asciiTheme="minorHAnsi" w:eastAsiaTheme="minorEastAsia" w:hAnsiTheme="minorHAnsi" w:cstheme="minorBidi"/>
      <w:sz w:val="20"/>
      <w:szCs w:val="20"/>
    </w:rPr>
  </w:style>
  <w:style w:type="character" w:customStyle="1" w:styleId="CommentTextChar">
    <w:name w:val="Comment Text Char"/>
    <w:basedOn w:val="DefaultParagraphFont"/>
    <w:link w:val="CommentText"/>
    <w:uiPriority w:val="99"/>
    <w:semiHidden/>
    <w:rsid w:val="00A17E12"/>
    <w:rPr>
      <w:sz w:val="20"/>
      <w:szCs w:val="20"/>
    </w:rPr>
  </w:style>
  <w:style w:type="paragraph" w:styleId="CommentSubject">
    <w:name w:val="annotation subject"/>
    <w:basedOn w:val="CommentText"/>
    <w:next w:val="CommentText"/>
    <w:link w:val="CommentSubjectChar"/>
    <w:uiPriority w:val="99"/>
    <w:semiHidden/>
    <w:unhideWhenUsed/>
    <w:rsid w:val="00A17E12"/>
    <w:rPr>
      <w:b/>
      <w:bCs/>
    </w:rPr>
  </w:style>
  <w:style w:type="character" w:customStyle="1" w:styleId="CommentSubjectChar">
    <w:name w:val="Comment Subject Char"/>
    <w:basedOn w:val="CommentTextChar"/>
    <w:link w:val="CommentSubject"/>
    <w:uiPriority w:val="99"/>
    <w:semiHidden/>
    <w:rsid w:val="00A17E12"/>
    <w:rPr>
      <w:b/>
      <w:bCs/>
      <w:sz w:val="20"/>
      <w:szCs w:val="20"/>
    </w:rPr>
  </w:style>
  <w:style w:type="paragraph" w:styleId="BalloonText">
    <w:name w:val="Balloon Text"/>
    <w:basedOn w:val="Normal"/>
    <w:link w:val="BalloonTextChar"/>
    <w:uiPriority w:val="99"/>
    <w:semiHidden/>
    <w:unhideWhenUsed/>
    <w:rsid w:val="00A17E12"/>
    <w:rPr>
      <w:rFonts w:eastAsiaTheme="minorEastAsia"/>
      <w:sz w:val="18"/>
      <w:szCs w:val="18"/>
    </w:rPr>
  </w:style>
  <w:style w:type="character" w:customStyle="1" w:styleId="BalloonTextChar">
    <w:name w:val="Balloon Text Char"/>
    <w:basedOn w:val="DefaultParagraphFont"/>
    <w:link w:val="BalloonText"/>
    <w:uiPriority w:val="99"/>
    <w:semiHidden/>
    <w:rsid w:val="00A17E12"/>
    <w:rPr>
      <w:rFonts w:ascii="Times New Roman" w:hAnsi="Times New Roman" w:cs="Times New Roman"/>
      <w:sz w:val="18"/>
      <w:szCs w:val="18"/>
    </w:rPr>
  </w:style>
  <w:style w:type="character" w:customStyle="1" w:styleId="Heading3Char">
    <w:name w:val="Heading 3 Char"/>
    <w:basedOn w:val="DefaultParagraphFont"/>
    <w:link w:val="Heading3"/>
    <w:uiPriority w:val="9"/>
    <w:rsid w:val="00A17E12"/>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A17E12"/>
    <w:rPr>
      <w:rFonts w:ascii="Times New Roman" w:eastAsia="Times New Roman" w:hAnsi="Times New Roman" w:cs="Times New Roman"/>
      <w:b/>
      <w:bCs/>
    </w:rPr>
  </w:style>
  <w:style w:type="character" w:customStyle="1" w:styleId="mw-headline">
    <w:name w:val="mw-headline"/>
    <w:basedOn w:val="DefaultParagraphFont"/>
    <w:rsid w:val="00A17E12"/>
  </w:style>
  <w:style w:type="character" w:customStyle="1" w:styleId="mw-editsection">
    <w:name w:val="mw-editsection"/>
    <w:basedOn w:val="DefaultParagraphFont"/>
    <w:rsid w:val="00A17E12"/>
  </w:style>
  <w:style w:type="character" w:customStyle="1" w:styleId="mw-editsection-bracket">
    <w:name w:val="mw-editsection-bracket"/>
    <w:basedOn w:val="DefaultParagraphFont"/>
    <w:rsid w:val="00A17E12"/>
  </w:style>
  <w:style w:type="character" w:styleId="Hyperlink">
    <w:name w:val="Hyperlink"/>
    <w:basedOn w:val="DefaultParagraphFont"/>
    <w:uiPriority w:val="99"/>
    <w:semiHidden/>
    <w:unhideWhenUsed/>
    <w:rsid w:val="00A17E12"/>
    <w:rPr>
      <w:color w:val="0000FF"/>
      <w:u w:val="single"/>
    </w:rPr>
  </w:style>
  <w:style w:type="character" w:customStyle="1" w:styleId="nowrap">
    <w:name w:val="nowrap"/>
    <w:basedOn w:val="DefaultParagraphFont"/>
    <w:rsid w:val="00A17E12"/>
  </w:style>
  <w:style w:type="character" w:customStyle="1" w:styleId="apple-converted-space">
    <w:name w:val="apple-converted-space"/>
    <w:basedOn w:val="DefaultParagraphFont"/>
    <w:rsid w:val="00A17E12"/>
  </w:style>
  <w:style w:type="paragraph" w:styleId="NormalWeb">
    <w:name w:val="Normal (Web)"/>
    <w:basedOn w:val="Normal"/>
    <w:uiPriority w:val="99"/>
    <w:semiHidden/>
    <w:unhideWhenUsed/>
    <w:rsid w:val="00A17E12"/>
    <w:pPr>
      <w:spacing w:before="100" w:beforeAutospacing="1" w:after="100" w:afterAutospacing="1"/>
    </w:pPr>
  </w:style>
  <w:style w:type="paragraph" w:styleId="Revision">
    <w:name w:val="Revision"/>
    <w:hidden/>
    <w:uiPriority w:val="99"/>
    <w:semiHidden/>
    <w:rsid w:val="00A17E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607861">
      <w:bodyDiv w:val="1"/>
      <w:marLeft w:val="0"/>
      <w:marRight w:val="0"/>
      <w:marTop w:val="0"/>
      <w:marBottom w:val="0"/>
      <w:divBdr>
        <w:top w:val="none" w:sz="0" w:space="0" w:color="auto"/>
        <w:left w:val="none" w:sz="0" w:space="0" w:color="auto"/>
        <w:bottom w:val="none" w:sz="0" w:space="0" w:color="auto"/>
        <w:right w:val="none" w:sz="0" w:space="0" w:color="auto"/>
      </w:divBdr>
      <w:divsChild>
        <w:div w:id="2020544813">
          <w:marLeft w:val="0"/>
          <w:marRight w:val="0"/>
          <w:marTop w:val="0"/>
          <w:marBottom w:val="0"/>
          <w:divBdr>
            <w:top w:val="none" w:sz="0" w:space="0" w:color="auto"/>
            <w:left w:val="none" w:sz="0" w:space="0" w:color="auto"/>
            <w:bottom w:val="none" w:sz="0" w:space="0" w:color="auto"/>
            <w:right w:val="none" w:sz="0" w:space="0" w:color="auto"/>
          </w:divBdr>
          <w:divsChild>
            <w:div w:id="803736189">
              <w:marLeft w:val="0"/>
              <w:marRight w:val="0"/>
              <w:marTop w:val="0"/>
              <w:marBottom w:val="0"/>
              <w:divBdr>
                <w:top w:val="none" w:sz="0" w:space="0" w:color="auto"/>
                <w:left w:val="none" w:sz="0" w:space="0" w:color="auto"/>
                <w:bottom w:val="none" w:sz="0" w:space="0" w:color="auto"/>
                <w:right w:val="none" w:sz="0" w:space="0" w:color="auto"/>
              </w:divBdr>
              <w:divsChild>
                <w:div w:id="65873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0386451">
      <w:bodyDiv w:val="1"/>
      <w:marLeft w:val="0"/>
      <w:marRight w:val="0"/>
      <w:marTop w:val="0"/>
      <w:marBottom w:val="0"/>
      <w:divBdr>
        <w:top w:val="none" w:sz="0" w:space="0" w:color="auto"/>
        <w:left w:val="none" w:sz="0" w:space="0" w:color="auto"/>
        <w:bottom w:val="none" w:sz="0" w:space="0" w:color="auto"/>
        <w:right w:val="none" w:sz="0" w:space="0" w:color="auto"/>
      </w:divBdr>
      <w:divsChild>
        <w:div w:id="1636711793">
          <w:marLeft w:val="0"/>
          <w:marRight w:val="0"/>
          <w:marTop w:val="0"/>
          <w:marBottom w:val="120"/>
          <w:divBdr>
            <w:top w:val="none" w:sz="0" w:space="0" w:color="auto"/>
            <w:left w:val="none" w:sz="0" w:space="0" w:color="auto"/>
            <w:bottom w:val="none" w:sz="0" w:space="0" w:color="auto"/>
            <w:right w:val="none" w:sz="0" w:space="0" w:color="auto"/>
          </w:divBdr>
        </w:div>
        <w:div w:id="2052996467">
          <w:marLeft w:val="336"/>
          <w:marRight w:val="0"/>
          <w:marTop w:val="120"/>
          <w:marBottom w:val="312"/>
          <w:divBdr>
            <w:top w:val="none" w:sz="0" w:space="0" w:color="auto"/>
            <w:left w:val="none" w:sz="0" w:space="0" w:color="auto"/>
            <w:bottom w:val="none" w:sz="0" w:space="0" w:color="auto"/>
            <w:right w:val="none" w:sz="0" w:space="0" w:color="auto"/>
          </w:divBdr>
          <w:divsChild>
            <w:div w:id="767847311">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090854592">
      <w:bodyDiv w:val="1"/>
      <w:marLeft w:val="0"/>
      <w:marRight w:val="0"/>
      <w:marTop w:val="0"/>
      <w:marBottom w:val="0"/>
      <w:divBdr>
        <w:top w:val="none" w:sz="0" w:space="0" w:color="auto"/>
        <w:left w:val="none" w:sz="0" w:space="0" w:color="auto"/>
        <w:bottom w:val="none" w:sz="0" w:space="0" w:color="auto"/>
        <w:right w:val="none" w:sz="0" w:space="0" w:color="auto"/>
      </w:divBdr>
      <w:divsChild>
        <w:div w:id="288515054">
          <w:marLeft w:val="0"/>
          <w:marRight w:val="0"/>
          <w:marTop w:val="0"/>
          <w:marBottom w:val="0"/>
          <w:divBdr>
            <w:top w:val="none" w:sz="0" w:space="0" w:color="auto"/>
            <w:left w:val="none" w:sz="0" w:space="0" w:color="auto"/>
            <w:bottom w:val="none" w:sz="0" w:space="0" w:color="auto"/>
            <w:right w:val="none" w:sz="0" w:space="0" w:color="auto"/>
          </w:divBdr>
          <w:divsChild>
            <w:div w:id="75372276">
              <w:marLeft w:val="0"/>
              <w:marRight w:val="0"/>
              <w:marTop w:val="0"/>
              <w:marBottom w:val="0"/>
              <w:divBdr>
                <w:top w:val="none" w:sz="0" w:space="0" w:color="auto"/>
                <w:left w:val="none" w:sz="0" w:space="0" w:color="auto"/>
                <w:bottom w:val="none" w:sz="0" w:space="0" w:color="auto"/>
                <w:right w:val="none" w:sz="0" w:space="0" w:color="auto"/>
              </w:divBdr>
              <w:divsChild>
                <w:div w:id="1565948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3754546">
      <w:bodyDiv w:val="1"/>
      <w:marLeft w:val="0"/>
      <w:marRight w:val="0"/>
      <w:marTop w:val="0"/>
      <w:marBottom w:val="0"/>
      <w:divBdr>
        <w:top w:val="none" w:sz="0" w:space="0" w:color="auto"/>
        <w:left w:val="none" w:sz="0" w:space="0" w:color="auto"/>
        <w:bottom w:val="none" w:sz="0" w:space="0" w:color="auto"/>
        <w:right w:val="none" w:sz="0" w:space="0" w:color="auto"/>
      </w:divBdr>
      <w:divsChild>
        <w:div w:id="994143822">
          <w:marLeft w:val="0"/>
          <w:marRight w:val="0"/>
          <w:marTop w:val="0"/>
          <w:marBottom w:val="120"/>
          <w:divBdr>
            <w:top w:val="none" w:sz="0" w:space="0" w:color="auto"/>
            <w:left w:val="none" w:sz="0" w:space="0" w:color="auto"/>
            <w:bottom w:val="none" w:sz="0" w:space="0" w:color="auto"/>
            <w:right w:val="none" w:sz="0" w:space="0" w:color="auto"/>
          </w:divBdr>
        </w:div>
        <w:div w:id="1002968758">
          <w:marLeft w:val="336"/>
          <w:marRight w:val="0"/>
          <w:marTop w:val="120"/>
          <w:marBottom w:val="312"/>
          <w:divBdr>
            <w:top w:val="none" w:sz="0" w:space="0" w:color="auto"/>
            <w:left w:val="none" w:sz="0" w:space="0" w:color="auto"/>
            <w:bottom w:val="none" w:sz="0" w:space="0" w:color="auto"/>
            <w:right w:val="none" w:sz="0" w:space="0" w:color="auto"/>
          </w:divBdr>
          <w:divsChild>
            <w:div w:id="1192298438">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548300332">
      <w:bodyDiv w:val="1"/>
      <w:marLeft w:val="0"/>
      <w:marRight w:val="0"/>
      <w:marTop w:val="0"/>
      <w:marBottom w:val="0"/>
      <w:divBdr>
        <w:top w:val="none" w:sz="0" w:space="0" w:color="auto"/>
        <w:left w:val="none" w:sz="0" w:space="0" w:color="auto"/>
        <w:bottom w:val="none" w:sz="0" w:space="0" w:color="auto"/>
        <w:right w:val="none" w:sz="0" w:space="0" w:color="auto"/>
      </w:divBdr>
      <w:divsChild>
        <w:div w:id="1261375444">
          <w:marLeft w:val="0"/>
          <w:marRight w:val="0"/>
          <w:marTop w:val="0"/>
          <w:marBottom w:val="120"/>
          <w:divBdr>
            <w:top w:val="none" w:sz="0" w:space="0" w:color="auto"/>
            <w:left w:val="none" w:sz="0" w:space="0" w:color="auto"/>
            <w:bottom w:val="none" w:sz="0" w:space="0" w:color="auto"/>
            <w:right w:val="none" w:sz="0" w:space="0" w:color="auto"/>
          </w:divBdr>
        </w:div>
        <w:div w:id="2077504905">
          <w:marLeft w:val="336"/>
          <w:marRight w:val="0"/>
          <w:marTop w:val="120"/>
          <w:marBottom w:val="312"/>
          <w:divBdr>
            <w:top w:val="none" w:sz="0" w:space="0" w:color="auto"/>
            <w:left w:val="none" w:sz="0" w:space="0" w:color="auto"/>
            <w:bottom w:val="none" w:sz="0" w:space="0" w:color="auto"/>
            <w:right w:val="none" w:sz="0" w:space="0" w:color="auto"/>
          </w:divBdr>
          <w:divsChild>
            <w:div w:id="1080568381">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784373832">
      <w:bodyDiv w:val="1"/>
      <w:marLeft w:val="0"/>
      <w:marRight w:val="0"/>
      <w:marTop w:val="0"/>
      <w:marBottom w:val="0"/>
      <w:divBdr>
        <w:top w:val="none" w:sz="0" w:space="0" w:color="auto"/>
        <w:left w:val="none" w:sz="0" w:space="0" w:color="auto"/>
        <w:bottom w:val="none" w:sz="0" w:space="0" w:color="auto"/>
        <w:right w:val="none" w:sz="0" w:space="0" w:color="auto"/>
      </w:divBdr>
      <w:divsChild>
        <w:div w:id="700712827">
          <w:marLeft w:val="0"/>
          <w:marRight w:val="0"/>
          <w:marTop w:val="0"/>
          <w:marBottom w:val="120"/>
          <w:divBdr>
            <w:top w:val="none" w:sz="0" w:space="0" w:color="auto"/>
            <w:left w:val="none" w:sz="0" w:space="0" w:color="auto"/>
            <w:bottom w:val="none" w:sz="0" w:space="0" w:color="auto"/>
            <w:right w:val="none" w:sz="0" w:space="0" w:color="auto"/>
          </w:divBdr>
        </w:div>
        <w:div w:id="1288508320">
          <w:marLeft w:val="336"/>
          <w:marRight w:val="0"/>
          <w:marTop w:val="120"/>
          <w:marBottom w:val="312"/>
          <w:divBdr>
            <w:top w:val="none" w:sz="0" w:space="0" w:color="auto"/>
            <w:left w:val="none" w:sz="0" w:space="0" w:color="auto"/>
            <w:bottom w:val="none" w:sz="0" w:space="0" w:color="auto"/>
            <w:right w:val="none" w:sz="0" w:space="0" w:color="auto"/>
          </w:divBdr>
          <w:divsChild>
            <w:div w:id="184946334">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s>
  <w:optimizeForBrowser/>
  <w:allowPNG/>
</w:webSettings>
</file>

<file path=word/_rels/comments.xml.rels><?xml version="1.0" encoding="UTF-8" standalone="yes"?>
<Relationships xmlns="http://schemas.openxmlformats.org/package/2006/relationships"><Relationship Id="rId8" Type="http://schemas.openxmlformats.org/officeDocument/2006/relationships/hyperlink" Target="https://en.wikipedia.org/w/index.php?title=Chicken_(game)&amp;action=edit&amp;section=4" TargetMode="External"/><Relationship Id="rId13" Type="http://schemas.openxmlformats.org/officeDocument/2006/relationships/hyperlink" Target="https://en.wikipedia.org/wiki/Chicken_(game)" TargetMode="External"/><Relationship Id="rId18" Type="http://schemas.openxmlformats.org/officeDocument/2006/relationships/hyperlink" Target="https://en.wikipedia.org/wiki/File:Hawk-Dove_transforming_into_Prisoner%27s_Dilemma.gif" TargetMode="External"/><Relationship Id="rId3" Type="http://schemas.openxmlformats.org/officeDocument/2006/relationships/hyperlink" Target="https://en.wikipedia.org/wiki/Non-rivalrous" TargetMode="External"/><Relationship Id="rId21" Type="http://schemas.openxmlformats.org/officeDocument/2006/relationships/hyperlink" Target="https://en.wikipedia.org/wiki/War_of_attrition_(game)" TargetMode="External"/><Relationship Id="rId7" Type="http://schemas.openxmlformats.org/officeDocument/2006/relationships/hyperlink" Target="https://en.wikipedia.org/wiki/Pure_strategy" TargetMode="External"/><Relationship Id="rId12" Type="http://schemas.openxmlformats.org/officeDocument/2006/relationships/hyperlink" Target="https://en.wikipedia.org/wiki/George_R._Price" TargetMode="External"/><Relationship Id="rId17" Type="http://schemas.openxmlformats.org/officeDocument/2006/relationships/hyperlink" Target="https://en.wikipedia.org/wiki/Prisoner%27s_Dilemma" TargetMode="External"/><Relationship Id="rId2" Type="http://schemas.openxmlformats.org/officeDocument/2006/relationships/hyperlink" Target="https://en.wikipedia.org/wiki/Pareto_dominance" TargetMode="External"/><Relationship Id="rId16" Type="http://schemas.openxmlformats.org/officeDocument/2006/relationships/hyperlink" Target="https://en.wikipedia.org/wiki/Payoff_matrix" TargetMode="External"/><Relationship Id="rId20" Type="http://schemas.openxmlformats.org/officeDocument/2006/relationships/hyperlink" Target="https://en.wikipedia.org/wiki/Chicken_(game)" TargetMode="External"/><Relationship Id="rId1" Type="http://schemas.openxmlformats.org/officeDocument/2006/relationships/hyperlink" Target="https://en.wikipedia.org/wiki/Coordination_game" TargetMode="External"/><Relationship Id="rId6" Type="http://schemas.openxmlformats.org/officeDocument/2006/relationships/hyperlink" Target="https://en.wikipedia.org/wiki/Nash_equilibrium" TargetMode="External"/><Relationship Id="rId11" Type="http://schemas.openxmlformats.org/officeDocument/2006/relationships/hyperlink" Target="https://en.wikipedia.org/wiki/John_Maynard_Smith" TargetMode="External"/><Relationship Id="rId5" Type="http://schemas.openxmlformats.org/officeDocument/2006/relationships/hyperlink" Target="https://en.wikipedia.org/wiki/Non-excludable_good" TargetMode="External"/><Relationship Id="rId15" Type="http://schemas.openxmlformats.org/officeDocument/2006/relationships/hyperlink" Target="https://en.wikipedia.org/wiki/Chicken_(game)" TargetMode="External"/><Relationship Id="rId10" Type="http://schemas.openxmlformats.org/officeDocument/2006/relationships/hyperlink" Target="https://en.wikipedia.org/wiki/Evolutionary_game_theory" TargetMode="External"/><Relationship Id="rId19" Type="http://schemas.openxmlformats.org/officeDocument/2006/relationships/image" Target="media/image1.gif"/><Relationship Id="rId4" Type="http://schemas.openxmlformats.org/officeDocument/2006/relationships/hyperlink" Target="https://en.wikipedia.org/wiki/Externality" TargetMode="External"/><Relationship Id="rId9" Type="http://schemas.openxmlformats.org/officeDocument/2006/relationships/hyperlink" Target="https://en.wikipedia.org/wiki/Evolutionary_game_theory" TargetMode="External"/><Relationship Id="rId14" Type="http://schemas.openxmlformats.org/officeDocument/2006/relationships/hyperlink" Target="https://en.wikipedia.org/wiki/Chicken_(game)" TargetMode="External"/><Relationship Id="rId22" Type="http://schemas.openxmlformats.org/officeDocument/2006/relationships/hyperlink" Target="https://en.wikipedia.org/wiki/Chicken_(game)" TargetMode="External"/></Relationship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microsoft.com/office/2016/09/relationships/commentsIds" Target="commentsId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fontTable" Target="fontTable.xml"/><Relationship Id="rId5" Type="http://schemas.openxmlformats.org/officeDocument/2006/relationships/comments" Target="comment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3</Pages>
  <Words>317</Words>
  <Characters>1813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jake626underland</dc:creator>
  <cp:keywords/>
  <dc:description/>
  <cp:lastModifiedBy>jake626underland</cp:lastModifiedBy>
  <cp:revision>1</cp:revision>
  <dcterms:created xsi:type="dcterms:W3CDTF">2019-10-07T04:12:00Z</dcterms:created>
  <dcterms:modified xsi:type="dcterms:W3CDTF">2019-10-07T05:24:00Z</dcterms:modified>
</cp:coreProperties>
</file>