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0" w:type="auto"/>
        <w:jc w:val="center"/>
        <w:tblLayout w:type="fixed"/>
        <w:tblLook w:val="04A0" w:firstRow="1" w:lastRow="0" w:firstColumn="1" w:lastColumn="0" w:noHBand="0" w:noVBand="1"/>
      </w:tblPr>
      <w:tblGrid>
        <w:gridCol w:w="3600"/>
        <w:gridCol w:w="3240"/>
        <w:gridCol w:w="2520"/>
      </w:tblGrid>
      <w:tr w:rsidR="00B64319" w:rsidRPr="00086C17" w14:paraId="2DFBD64C" w14:textId="77777777" w:rsidTr="00D57DA4">
        <w:trPr>
          <w:trHeight w:val="274"/>
          <w:jc w:val="center"/>
        </w:trPr>
        <w:tc>
          <w:tcPr>
            <w:tcW w:w="3600" w:type="dxa"/>
            <w:tcBorders>
              <w:top w:val="single" w:sz="4" w:space="0" w:color="111111"/>
              <w:left w:val="single" w:sz="4" w:space="0" w:color="111111"/>
              <w:bottom w:val="single" w:sz="4" w:space="0" w:color="111111"/>
              <w:right w:val="single" w:sz="4" w:space="0" w:color="111111"/>
            </w:tcBorders>
          </w:tcPr>
          <w:p w14:paraId="226A1999" w14:textId="77777777" w:rsidR="00B64319" w:rsidRPr="00086C17" w:rsidRDefault="00000000" w:rsidP="00086C17">
            <w:pPr>
              <w:rPr>
                <w:sz w:val="18"/>
                <w:szCs w:val="18"/>
              </w:rPr>
            </w:pPr>
            <w:r w:rsidRPr="00086C17">
              <w:rPr>
                <w:b/>
                <w:sz w:val="18"/>
                <w:szCs w:val="18"/>
              </w:rPr>
              <w:t>QUALITY MANAGEMENT SYSTEM</w:t>
            </w:r>
          </w:p>
        </w:tc>
        <w:tc>
          <w:tcPr>
            <w:tcW w:w="3240" w:type="dxa"/>
            <w:tcBorders>
              <w:top w:val="single" w:sz="4" w:space="0" w:color="111111"/>
              <w:left w:val="single" w:sz="4" w:space="0" w:color="111111"/>
              <w:bottom w:val="single" w:sz="4" w:space="0" w:color="111111"/>
              <w:right w:val="single" w:sz="4" w:space="0" w:color="111111"/>
            </w:tcBorders>
          </w:tcPr>
          <w:p w14:paraId="5B64B9BA" w14:textId="77777777" w:rsidR="00B64319" w:rsidRPr="00086C17" w:rsidRDefault="00000000" w:rsidP="00086C17">
            <w:pPr>
              <w:rPr>
                <w:b/>
                <w:bCs/>
                <w:sz w:val="18"/>
                <w:szCs w:val="18"/>
              </w:rPr>
            </w:pPr>
            <w:r w:rsidRPr="00086C17">
              <w:rPr>
                <w:b/>
                <w:bCs/>
                <w:sz w:val="16"/>
                <w:szCs w:val="18"/>
              </w:rPr>
              <w:t>Prerequisite Program (PRP)</w:t>
            </w:r>
          </w:p>
        </w:tc>
        <w:tc>
          <w:tcPr>
            <w:tcW w:w="2520" w:type="dxa"/>
            <w:tcBorders>
              <w:top w:val="single" w:sz="4" w:space="0" w:color="111111"/>
              <w:left w:val="single" w:sz="4" w:space="0" w:color="111111"/>
              <w:bottom w:val="single" w:sz="4" w:space="0" w:color="111111"/>
              <w:right w:val="single" w:sz="4" w:space="0" w:color="111111"/>
            </w:tcBorders>
          </w:tcPr>
          <w:p>
            <w:r>
              <w:rPr>
                <w:rFonts w:ascii="Times New Roman" w:hAnsi="Times New Roman"/>
                <w:b/>
                <w:sz w:val="18"/>
              </w:rPr>
              <w:t>Doc Code: PRP-GHP-02</w:t>
            </w:r>
          </w:p>
        </w:tc>
      </w:tr>
      <w:tr w:rsidR="00B64319" w:rsidRPr="00086C17" w14:paraId="5810534E" w14:textId="77777777">
        <w:trPr>
          <w:jc w:val="center"/>
        </w:trPr>
        <w:tc>
          <w:tcPr>
            <w:tcW w:w="6840" w:type="dxa"/>
            <w:gridSpan w:val="2"/>
            <w:tcBorders>
              <w:top w:val="single" w:sz="4" w:space="0" w:color="111111"/>
              <w:left w:val="single" w:sz="4" w:space="0" w:color="111111"/>
              <w:bottom w:val="single" w:sz="4" w:space="0" w:color="111111"/>
              <w:right w:val="single" w:sz="4" w:space="0" w:color="111111"/>
            </w:tcBorders>
          </w:tcPr>
          <w:p>
            <w:r>
              <w:rPr>
                <w:rFonts w:ascii="Times New Roman" w:hAnsi="Times New Roman"/>
                <w:b/>
                <w:sz w:val="18"/>
              </w:rPr>
              <w:t>Document Title: PRP 2.0 – Allergen Management and Segregation Policy</w:t>
            </w:r>
          </w:p>
        </w:tc>
        <w:tc>
          <w:tcPr>
            <w:tcW w:w="2520" w:type="dxa"/>
            <w:tcBorders>
              <w:top w:val="single" w:sz="4" w:space="0" w:color="111111"/>
              <w:left w:val="single" w:sz="4" w:space="0" w:color="111111"/>
              <w:bottom w:val="single" w:sz="4" w:space="0" w:color="111111"/>
              <w:right w:val="single" w:sz="4" w:space="0" w:color="111111"/>
            </w:tcBorders>
          </w:tcPr>
          <w:p>
            <w:r>
              <w:rPr>
                <w:rFonts w:ascii="Times New Roman" w:hAnsi="Times New Roman"/>
                <w:sz w:val="18"/>
              </w:rPr>
              <w:t>Revision No: 01</w:t>
              <w:br/>
              <w:t>Effective Date: 08/30/2026</w:t>
            </w:r>
          </w:p>
        </w:tc>
      </w:tr>
      <w:tr w:rsidR="00B64319" w:rsidRPr="00086C17" w14:paraId="27FCE7F4" w14:textId="77777777">
        <w:trPr>
          <w:jc w:val="center"/>
        </w:trPr>
        <w:tc>
          <w:tcPr>
            <w:tcW w:w="6840" w:type="dxa"/>
            <w:gridSpan w:val="2"/>
            <w:tcBorders>
              <w:top w:val="single" w:sz="4" w:space="0" w:color="111111"/>
              <w:left w:val="single" w:sz="4" w:space="0" w:color="111111"/>
              <w:bottom w:val="single" w:sz="4" w:space="0" w:color="111111"/>
              <w:right w:val="single" w:sz="4" w:space="0" w:color="111111"/>
            </w:tcBorders>
          </w:tcPr>
          <w:p>
            <w:r>
              <w:rPr>
                <w:rFonts w:ascii="Times New Roman" w:hAnsi="Times New Roman"/>
                <w:b/>
                <w:sz w:val="18"/>
              </w:rPr>
              <w:t>Establishment: Coffee Prince, Dasmariñas, Cavite</w:t>
            </w:r>
          </w:p>
        </w:tc>
        <w:tc>
          <w:tcPr>
            <w:tcW w:w="2520" w:type="dxa"/>
            <w:tcBorders>
              <w:top w:val="single" w:sz="4" w:space="0" w:color="111111"/>
              <w:left w:val="single" w:sz="4" w:space="0" w:color="111111"/>
              <w:bottom w:val="single" w:sz="4" w:space="0" w:color="111111"/>
              <w:right w:val="single" w:sz="4" w:space="0" w:color="111111"/>
            </w:tcBorders>
          </w:tcPr>
          <w:p>
            <w:r>
              <w:rPr>
                <w:rFonts w:ascii="Times New Roman" w:hAnsi="Times New Roman"/>
                <w:sz w:val="18"/>
              </w:rPr>
              <w:t>Page: 1 of  3</w:t>
            </w:r>
          </w:p>
        </w:tc>
      </w:tr>
    </w:tbl>
    <w:p w14:paraId="447E3D4A" w14:textId="77777777" w:rsidR="00B64319" w:rsidRPr="00086C17" w:rsidRDefault="00000000" w:rsidP="00086C17">
      <w:pPr>
        <w:spacing w:before="240" w:after="40"/>
        <w:rPr>
          <w:sz w:val="18"/>
          <w:szCs w:val="18"/>
        </w:rPr>
      </w:pPr>
      <w:r>
        <w:rPr>
          <w:rFonts w:ascii="Times New Roman" w:hAnsi="Times New Roman"/>
          <w:b/>
          <w:sz w:val="18"/>
        </w:rPr>
        <w:t>1. Purpose</w:t>
      </w:r>
    </w:p>
    <w:p w14:paraId="3A022111" w14:textId="77777777" w:rsidR="00B64319" w:rsidRPr="00086C17" w:rsidRDefault="00000000" w:rsidP="007B4268">
      <w:pPr>
        <w:spacing w:after="160"/>
        <w:rPr>
          <w:sz w:val="18"/>
          <w:szCs w:val="18"/>
        </w:rPr>
      </w:pPr>
      <w:r>
        <w:rPr>
          <w:rFonts w:ascii="Times New Roman" w:hAnsi="Times New Roman"/>
          <w:sz w:val="18"/>
        </w:rPr>
        <w:t>The purpose of this procedure is to establish strict, standardized operational guidelines for the identification, segregation, handling, and communication of major food allergens across Coffee Prince. This manual systematically eliminates allergen cross-contact risks between raw ingredients, beverage builds, bakery items, and hot meal preparation, ensuring full compliance with Republic Act No. 10611 (The Food Safety Act of 2013), Codex CXC 1-1969, and national consumer protection standards.</w:t>
      </w:r>
    </w:p>
    <w:p w14:paraId="7EBB5334" w14:textId="77777777" w:rsidR="00B64319" w:rsidRPr="00086C17" w:rsidRDefault="00000000" w:rsidP="00086C17">
      <w:pPr>
        <w:spacing w:before="240" w:after="40"/>
        <w:rPr>
          <w:sz w:val="18"/>
          <w:szCs w:val="18"/>
        </w:rPr>
      </w:pPr>
      <w:r>
        <w:rPr>
          <w:rFonts w:ascii="Times New Roman" w:hAnsi="Times New Roman"/>
          <w:b/>
          <w:sz w:val="18"/>
        </w:rPr>
        <w:t>2. Scope</w:t>
      </w:r>
    </w:p>
    <w:p w14:paraId="7373DD69" w14:textId="77777777" w:rsidR="00B64319" w:rsidRPr="00086C17" w:rsidRDefault="00000000" w:rsidP="007B4268">
      <w:pPr>
        <w:spacing w:after="160"/>
        <w:rPr>
          <w:sz w:val="18"/>
          <w:szCs w:val="18"/>
        </w:rPr>
      </w:pPr>
      <w:r>
        <w:rPr>
          <w:rFonts w:ascii="Times New Roman" w:hAnsi="Times New Roman"/>
          <w:sz w:val="18"/>
        </w:rPr>
        <w:t>This Prerequisite Program (PRP) applies universally to all food and beverage operations at Coffee Prince, Dasmariñas, Cavite. This encompasses receiving, dry and cold storage, barista beverage preparation (espresso, frappes, milk teas), hot food kitchen line (wings, pasta, rice bowls), sandwich and panini assembly, dessert and waffle staging, customer service order-taking, and sanitization cycles.</w:t>
      </w:r>
    </w:p>
    <w:p w14:paraId="3F01F829" w14:textId="77777777" w:rsidR="00B64319" w:rsidRPr="00086C17" w:rsidRDefault="00000000" w:rsidP="00086C17">
      <w:pPr>
        <w:spacing w:before="240" w:after="40"/>
        <w:rPr>
          <w:sz w:val="18"/>
          <w:szCs w:val="18"/>
        </w:rPr>
      </w:pPr>
      <w:r>
        <w:rPr>
          <w:rFonts w:ascii="Times New Roman" w:hAnsi="Times New Roman"/>
          <w:b/>
          <w:sz w:val="18"/>
        </w:rPr>
        <w:t>3. Definitions</w:t>
      </w:r>
    </w:p>
    <w:p w14:paraId="499A0FD7" w14:textId="77777777" w:rsidR="00B64319" w:rsidRPr="00086C17" w:rsidRDefault="00000000" w:rsidP="00086C17">
      <w:pPr>
        <w:spacing w:after="160"/>
        <w:rPr>
          <w:sz w:val="18"/>
          <w:szCs w:val="18"/>
        </w:rPr>
      </w:pPr>
      <w:r>
        <w:rPr>
          <w:rFonts w:ascii="Times New Roman" w:hAnsi="Times New Roman"/>
          <w:sz w:val="18"/>
        </w:rPr>
        <w:t>• Food Allergen: An otherwise harmless food protein that triggers an abnormal immune response (IgE-mediated or non-IgE) in sensitized individuals, potentially resulting in severe anaphylaxis.</w:t>
        <w:br/>
        <w:t>• Big 6 Facility Allergens: The 6 major food allergens actively handled at Coffee Prince: Tree Nuts (Hazelnut, Nutella), Dairy (Milks, Cheeses, Creams), Fish (Canned Tuna), Wheat/Gluten (Bread, Batter, Pasta), Eggs (Shell Eggs, Mayonnaise), and Soy (Syrups, Sauces).</w:t>
        <w:br/>
        <w:t>• Allergen Cross-Contact: The unintentional transfer of an allergen protein from an allergen-containing food or surface to an allergen-free food, rendering it hazardous to sensitive individuals.</w:t>
        <w:br/>
        <w:t>• Segregation: Physical or temporal separation of allergenic ingredients, preparation equipment, blenders, and utensils to eliminate contact pathways.</w:t>
        <w:br/>
        <w:t>• Point-of-Sale (POS) Allergen Disclosure: Accurate verbal and written declaration of menu ingredients to alert customers prior to food consumption.</w:t>
      </w:r>
    </w:p>
    <w:p w14:paraId="365E87DE" w14:textId="77777777" w:rsidR="00B64319" w:rsidRPr="00086C17" w:rsidRDefault="00000000" w:rsidP="00086C17">
      <w:pPr>
        <w:spacing w:before="240" w:after="40"/>
        <w:rPr>
          <w:sz w:val="18"/>
          <w:szCs w:val="18"/>
        </w:rPr>
      </w:pPr>
      <w:r>
        <w:rPr>
          <w:rFonts w:ascii="Times New Roman" w:hAnsi="Times New Roman"/>
          <w:b/>
          <w:sz w:val="18"/>
        </w:rPr>
        <w:t>4. Responsibility</w:t>
      </w:r>
    </w:p>
    <w:p w14:paraId="638F248A" w14:textId="77777777" w:rsidR="00B64319" w:rsidRPr="00086C17" w:rsidRDefault="00000000" w:rsidP="00086C17">
      <w:pPr>
        <w:spacing w:after="160"/>
        <w:rPr>
          <w:sz w:val="18"/>
          <w:szCs w:val="18"/>
        </w:rPr>
      </w:pPr>
      <w:r>
        <w:rPr>
          <w:rFonts w:ascii="Times New Roman" w:hAnsi="Times New Roman"/>
          <w:sz w:val="18"/>
        </w:rPr>
        <w:t>• Baristas &amp; Food Handlers: Responsible for using dedicated allergen utensils, strictly purging steam wands, segregating nut-containing blenders, changing gloves between orders, and immediately cleaning spills.</w:t>
        <w:br/>
        <w:t>• Shift Manager / Supervisor: Responsible for verifying ingredient label integrity, enforcing tool color-coding, ensuring menu advisories are visible, and verifying LOG-ALLERG-01 daily.</w:t>
        <w:br/>
        <w:t>• Lead FSCO: Responsible for auditing allergen segregation matrices, reviewing recipe change impacts, facilitating staff allergen training, and auditing supplier allergen certificates of analysis (COA).</w:t>
      </w:r>
    </w:p>
    <w:p w14:paraId="0579BA9F" w14:textId="77777777" w:rsidR="00B64319" w:rsidRPr="00086C17" w:rsidRDefault="00000000" w:rsidP="00086C17">
      <w:pPr>
        <w:spacing w:before="240" w:after="80"/>
        <w:rPr>
          <w:sz w:val="18"/>
          <w:szCs w:val="18"/>
        </w:rPr>
      </w:pPr>
      <w:r>
        <w:rPr>
          <w:rFonts w:ascii="Times New Roman" w:hAnsi="Times New Roman"/>
          <w:b/>
          <w:sz w:val="18"/>
        </w:rPr>
        <w:t>5. Procedure</w:t>
      </w:r>
    </w:p>
    <w:p w14:paraId="29F91C3C" w14:textId="77777777" w:rsidR="00B64319" w:rsidRPr="00086C17" w:rsidRDefault="00000000" w:rsidP="00086C17">
      <w:pPr>
        <w:spacing w:before="120" w:after="40"/>
        <w:rPr>
          <w:sz w:val="18"/>
          <w:szCs w:val="18"/>
        </w:rPr>
      </w:pPr>
      <w:r>
        <w:rPr>
          <w:rFonts w:ascii="Times New Roman" w:hAnsi="Times New Roman"/>
          <w:b/>
          <w:sz w:val="18"/>
        </w:rPr>
        <w:t xml:space="preserve">  5.1 Identification &amp; Profiling of Facility Allergens</w:t>
      </w:r>
    </w:p>
    <w:p w14:paraId="54BD05A8" w14:textId="77777777" w:rsidR="00B64319" w:rsidRPr="00086C17" w:rsidRDefault="00000000" w:rsidP="00086C17">
      <w:pPr>
        <w:spacing w:after="60"/>
        <w:ind w:left="576"/>
        <w:rPr>
          <w:sz w:val="18"/>
          <w:szCs w:val="18"/>
        </w:rPr>
      </w:pPr>
      <w:r>
        <w:rPr>
          <w:rFonts w:ascii="Times New Roman" w:hAnsi="Times New Roman"/>
          <w:sz w:val="18"/>
        </w:rPr>
        <w:t>1. Every ingredient received at Coffee Prince must undergo allergen profiling and be categorized under the facility's Big 6 Allergen Matrix.</w:t>
      </w:r>
    </w:p>
    <w:p w14:paraId="728EF264" w14:textId="77777777" w:rsidR="00B64319" w:rsidRPr="00086C17" w:rsidRDefault="00000000" w:rsidP="00086C17">
      <w:pPr>
        <w:spacing w:after="60"/>
        <w:ind w:left="576"/>
        <w:rPr>
          <w:sz w:val="18"/>
          <w:szCs w:val="18"/>
        </w:rPr>
      </w:pPr>
      <w:r>
        <w:rPr>
          <w:rFonts w:ascii="Times New Roman" w:hAnsi="Times New Roman"/>
          <w:sz w:val="18"/>
        </w:rPr>
        <w:t>2. Tree Nuts (Hazelnut syrup, crushed nut toppings, Nutella) and Fish (canned tuna) must be flagged as extreme-risk allergens requiring isolated storage.</w:t>
      </w:r>
    </w:p>
    <w:p w14:paraId="70F5E9E6" w14:textId="77777777" w:rsidR="00B64319" w:rsidRPr="00086C17" w:rsidRDefault="00000000" w:rsidP="00086C17">
      <w:pPr>
        <w:spacing w:after="60"/>
        <w:ind w:left="576"/>
        <w:rPr>
          <w:sz w:val="18"/>
          <w:szCs w:val="18"/>
        </w:rPr>
      </w:pPr>
      <w:r>
        <w:rPr>
          <w:rFonts w:ascii="Times New Roman" w:hAnsi="Times New Roman"/>
          <w:sz w:val="18"/>
        </w:rPr>
        <w:t>3. Dairy milks (cow's milk) and dairy-based whipped cream dispensers must be clearly segregated from non-dairy or plant-based beverage staging.</w:t>
      </w:r>
    </w:p>
    <w:p w14:paraId="251B1B43" w14:textId="77777777" w:rsidR="00B64319" w:rsidRPr="00086C17" w:rsidRDefault="00000000" w:rsidP="00086C17">
      <w:pPr>
        <w:spacing w:after="60"/>
        <w:ind w:left="576"/>
        <w:rPr>
          <w:sz w:val="18"/>
          <w:szCs w:val="18"/>
        </w:rPr>
      </w:pPr>
      <w:r>
        <w:rPr>
          <w:rFonts w:ascii="Times New Roman" w:hAnsi="Times New Roman"/>
          <w:sz w:val="18"/>
        </w:rPr>
        <w:t>4. All recipe changes or new seasonal ingredient introductions must be formally reviewed and approved by the FSCO before commercial launch.</w:t>
      </w:r>
    </w:p>
    <w:p w14:paraId="2297149D" w14:textId="77777777" w:rsidR="00086C17" w:rsidRDefault="00000000" w:rsidP="00086C17">
      <w:pPr>
        <w:spacing w:before="120" w:after="40"/>
        <w:rPr>
          <w:b/>
          <w:sz w:val="18"/>
          <w:szCs w:val="18"/>
        </w:rPr>
      </w:pPr>
      <w:r>
        <w:rPr>
          <w:rFonts w:ascii="Times New Roman" w:hAnsi="Times New Roman"/>
          <w:b/>
          <w:sz w:val="18"/>
        </w:rPr>
        <w:t xml:space="preserve">  </w:t>
      </w:r>
    </w:p>
    <w:p w14:paraId="1BF192D0" w14:textId="29AB1025" w:rsidR="00B64319" w:rsidRPr="00086C17" w:rsidRDefault="00000000" w:rsidP="00086C17">
      <w:pPr>
        <w:spacing w:before="120" w:after="40"/>
        <w:rPr>
          <w:sz w:val="18"/>
          <w:szCs w:val="18"/>
        </w:rPr>
      </w:pPr>
      <w:r>
        <w:rPr>
          <w:rFonts w:ascii="Times New Roman" w:hAnsi="Times New Roman"/>
          <w:b/>
          <w:sz w:val="18"/>
        </w:rPr>
        <w:t>5.2 Ingredient Storage &amp; Raw Material Segregation</w:t>
      </w:r>
    </w:p>
    <w:p w14:paraId="1D99F541" w14:textId="77777777" w:rsidR="00B64319" w:rsidRPr="00086C17" w:rsidRDefault="00000000" w:rsidP="00086C17">
      <w:pPr>
        <w:spacing w:after="60"/>
        <w:ind w:left="576"/>
        <w:rPr>
          <w:sz w:val="18"/>
          <w:szCs w:val="18"/>
        </w:rPr>
      </w:pPr>
      <w:r>
        <w:rPr>
          <w:rFonts w:ascii="Times New Roman" w:hAnsi="Times New Roman"/>
          <w:sz w:val="18"/>
        </w:rPr>
        <w:t>1. Dry allergenic toppings (hazelnuts, crushed cookies, waffle flours) must be stored in airtight, food-grade bins clearly labeled with the allergen name in bold text.</w:t>
      </w:r>
    </w:p>
    <w:p w14:paraId="3662813A" w14:textId="77777777" w:rsidR="00B64319" w:rsidRPr="00086C17" w:rsidRDefault="00000000" w:rsidP="00086C17">
      <w:pPr>
        <w:spacing w:after="60"/>
        <w:ind w:left="576"/>
        <w:rPr>
          <w:sz w:val="18"/>
          <w:szCs w:val="18"/>
        </w:rPr>
      </w:pPr>
      <w:r>
        <w:rPr>
          <w:rFonts w:ascii="Times New Roman" w:hAnsi="Times New Roman"/>
          <w:sz w:val="18"/>
        </w:rPr>
        <w:t>2. Allergen-containing dry goods must be positioned on designated lower shelves or isolated bays to prevent accidental dust transfer onto allergen-free goods.</w:t>
      </w:r>
    </w:p>
    <w:p w14:paraId="7C0453E6" w14:textId="77777777" w:rsidR="00B64319" w:rsidRPr="00086C17" w:rsidRDefault="00000000" w:rsidP="00086C17">
      <w:pPr>
        <w:spacing w:after="60"/>
        <w:ind w:left="576"/>
        <w:rPr>
          <w:sz w:val="18"/>
          <w:szCs w:val="18"/>
        </w:rPr>
      </w:pPr>
      <w:r>
        <w:rPr>
          <w:rFonts w:ascii="Times New Roman" w:hAnsi="Times New Roman"/>
          <w:sz w:val="18"/>
        </w:rPr>
        <w:t>3. Opened cans of tuna fish must be immediately transferred to sealed, food-grade cambro containers, labeled with prep/expiry dates, and held at ≤ 4° C (41° F).</w:t>
      </w:r>
    </w:p>
    <w:p w14:paraId="4D13A9D9" w14:textId="77777777" w:rsidR="00B64319" w:rsidRPr="00086C17" w:rsidRDefault="00000000" w:rsidP="00086C17">
      <w:pPr>
        <w:spacing w:after="60"/>
        <w:ind w:left="576"/>
        <w:rPr>
          <w:sz w:val="18"/>
          <w:szCs w:val="18"/>
        </w:rPr>
      </w:pPr>
      <w:r>
        <w:rPr>
          <w:rFonts w:ascii="Times New Roman" w:hAnsi="Times New Roman"/>
          <w:sz w:val="18"/>
        </w:rPr>
        <w:t>4. Raw shell eggs must be stored on the bottom shelf of kitchen refrigeration units below ready-to-eat dairy, pre-cooked pasta, and dessert items.</w:t>
      </w:r>
    </w:p>
    <w:p w14:paraId="0667B716" w14:textId="77777777" w:rsidR="00B64319" w:rsidRPr="00086C17" w:rsidRDefault="00000000" w:rsidP="00086C17">
      <w:pPr>
        <w:spacing w:before="120" w:after="40"/>
        <w:rPr>
          <w:sz w:val="18"/>
          <w:szCs w:val="18"/>
        </w:rPr>
      </w:pPr>
      <w:r>
        <w:rPr>
          <w:rFonts w:ascii="Times New Roman" w:hAnsi="Times New Roman"/>
          <w:b/>
          <w:sz w:val="18"/>
        </w:rPr>
        <w:t xml:space="preserve">  5.3 Beverage Bar, Blender &amp; Panini Station Segregation Protocols</w:t>
      </w:r>
    </w:p>
    <w:p w14:paraId="53E784E2" w14:textId="77777777" w:rsidR="00B64319" w:rsidRPr="00086C17" w:rsidRDefault="00000000" w:rsidP="00086C17">
      <w:pPr>
        <w:spacing w:after="60"/>
        <w:ind w:left="576"/>
        <w:rPr>
          <w:sz w:val="18"/>
          <w:szCs w:val="18"/>
        </w:rPr>
      </w:pPr>
      <w:r>
        <w:rPr>
          <w:rFonts w:ascii="Times New Roman" w:hAnsi="Times New Roman"/>
          <w:sz w:val="18"/>
        </w:rPr>
        <w:t>1. Dedicated blender pitchers and measuring scoops must be designated exclusively for Nutella and Hazelnut frappe preparations.</w:t>
      </w:r>
    </w:p>
    <w:p w14:paraId="73E1AD49" w14:textId="77777777" w:rsidR="00B64319" w:rsidRPr="00086C17" w:rsidRDefault="00000000" w:rsidP="00086C17">
      <w:pPr>
        <w:spacing w:after="60"/>
        <w:ind w:left="576"/>
        <w:rPr>
          <w:sz w:val="18"/>
          <w:szCs w:val="18"/>
        </w:rPr>
      </w:pPr>
      <w:r>
        <w:rPr>
          <w:rFonts w:ascii="Times New Roman" w:hAnsi="Times New Roman"/>
          <w:sz w:val="18"/>
        </w:rPr>
        <w:t>2. If a shared blender jar must be used, it must undergo a full 3-step wash, clean rinse, and chemical sanitization cycle (Chlorine 50-100 ppm / Quat 200 ppm) before preparing standard drinks.</w:t>
      </w:r>
    </w:p>
    <w:p w14:paraId="33C1CBE5" w14:textId="77777777" w:rsidR="00B64319" w:rsidRPr="00086C17" w:rsidRDefault="00000000" w:rsidP="00086C17">
      <w:pPr>
        <w:spacing w:after="60"/>
        <w:ind w:left="576"/>
        <w:rPr>
          <w:sz w:val="18"/>
          <w:szCs w:val="18"/>
        </w:rPr>
      </w:pPr>
      <w:r>
        <w:rPr>
          <w:rFonts w:ascii="Times New Roman" w:hAnsi="Times New Roman"/>
          <w:sz w:val="18"/>
        </w:rPr>
        <w:t>3. Steam wands must be purged for 2 full seconds and wiped with a clean sanitizer cloth immediately following every individual dairy steaming cycle.</w:t>
      </w:r>
    </w:p>
    <w:p w14:paraId="2CB7EC21" w14:textId="77777777" w:rsidR="00B64319" w:rsidRPr="00086C17" w:rsidRDefault="00000000" w:rsidP="00086C17">
      <w:pPr>
        <w:spacing w:after="60"/>
        <w:ind w:left="576"/>
        <w:rPr>
          <w:sz w:val="18"/>
          <w:szCs w:val="18"/>
        </w:rPr>
      </w:pPr>
      <w:r>
        <w:rPr>
          <w:rFonts w:ascii="Times New Roman" w:hAnsi="Times New Roman"/>
          <w:sz w:val="18"/>
        </w:rPr>
        <w:t>4. Tuna Melt Paninis must be assembled on a dedicated cutting board using designated spatulas, physically separated from waffle and pastry staging zones.</w:t>
      </w:r>
    </w:p>
    <w:p w14:paraId="26EA82F5" w14:textId="77777777" w:rsidR="00B64319" w:rsidRPr="00086C17" w:rsidRDefault="00000000" w:rsidP="00086C17">
      <w:pPr>
        <w:spacing w:after="60"/>
        <w:ind w:left="576"/>
        <w:rPr>
          <w:sz w:val="18"/>
          <w:szCs w:val="18"/>
        </w:rPr>
      </w:pPr>
      <w:r>
        <w:rPr>
          <w:rFonts w:ascii="Times New Roman" w:hAnsi="Times New Roman"/>
          <w:sz w:val="18"/>
        </w:rPr>
        <w:t>5. Staff must wash hands for 20 seconds and put on fresh gloves immediately after handling tuna, raw eggs, or nut toppings before touching clean tableware or RTE food.</w:t>
      </w:r>
    </w:p>
    <w:p w14:paraId="0DAECA19" w14:textId="77777777" w:rsidR="00B64319" w:rsidRPr="00086C17" w:rsidRDefault="00000000" w:rsidP="00086C17">
      <w:pPr>
        <w:spacing w:before="120" w:after="40"/>
        <w:rPr>
          <w:sz w:val="18"/>
          <w:szCs w:val="18"/>
        </w:rPr>
      </w:pPr>
      <w:r>
        <w:rPr>
          <w:rFonts w:ascii="Times New Roman" w:hAnsi="Times New Roman"/>
          <w:b/>
          <w:sz w:val="18"/>
        </w:rPr>
        <w:t xml:space="preserve">  5.4 Menu Advisory &amp; Point-of-Sale Customer Communication</w:t>
      </w:r>
    </w:p>
    <w:p w14:paraId="058BD370" w14:textId="77777777" w:rsidR="00B64319" w:rsidRPr="00086C17" w:rsidRDefault="00000000" w:rsidP="00086C17">
      <w:pPr>
        <w:spacing w:after="60"/>
        <w:ind w:left="576"/>
        <w:rPr>
          <w:sz w:val="18"/>
          <w:szCs w:val="18"/>
        </w:rPr>
      </w:pPr>
      <w:r>
        <w:rPr>
          <w:rFonts w:ascii="Times New Roman" w:hAnsi="Times New Roman"/>
          <w:sz w:val="18"/>
        </w:rPr>
        <w:t>1. Clear, prominent allergen warning signage must be displayed at the main ordering counter and printed on all customer menus.</w:t>
      </w:r>
    </w:p>
    <w:p w14:paraId="603B258F" w14:textId="77777777" w:rsidR="00B64319" w:rsidRPr="00086C17" w:rsidRDefault="00000000" w:rsidP="00086C17">
      <w:pPr>
        <w:spacing w:after="60"/>
        <w:ind w:left="576"/>
        <w:rPr>
          <w:sz w:val="18"/>
          <w:szCs w:val="18"/>
        </w:rPr>
      </w:pPr>
      <w:r>
        <w:rPr>
          <w:rFonts w:ascii="Times New Roman" w:hAnsi="Times New Roman"/>
          <w:sz w:val="18"/>
        </w:rPr>
        <w:t>2. When a customer self-identifies an allergy, the cashier must actively tag the POS order ticket with 'ALLERGEN ALERT' and verbally notify the barista/kitchen lead.</w:t>
      </w:r>
    </w:p>
    <w:p w14:paraId="038DAE9C" w14:textId="2C468D64" w:rsidR="00086C17" w:rsidRPr="00086C17" w:rsidRDefault="00000000" w:rsidP="00086C17">
      <w:pPr>
        <w:spacing w:after="60"/>
        <w:ind w:left="576"/>
        <w:rPr>
          <w:sz w:val="18"/>
          <w:szCs w:val="18"/>
        </w:rPr>
      </w:pPr>
      <w:r>
        <w:rPr>
          <w:rFonts w:ascii="Times New Roman" w:hAnsi="Times New Roman"/>
          <w:sz w:val="18"/>
        </w:rPr>
        <w:t>3. Food handlers must sanitize all contact tools, surface areas, and don fresh gloves prior to assembling any flagged allergen-alert order.</w:t>
      </w:r>
    </w:p>
    <w:p w14:paraId="645C675A" w14:textId="77777777" w:rsidR="00B64319" w:rsidRPr="00086C17" w:rsidRDefault="00000000" w:rsidP="00086C17">
      <w:pPr>
        <w:spacing w:before="240" w:after="80"/>
        <w:rPr>
          <w:sz w:val="18"/>
          <w:szCs w:val="18"/>
        </w:rPr>
      </w:pPr>
      <w:r>
        <w:rPr>
          <w:rFonts w:ascii="Times New Roman" w:hAnsi="Times New Roman"/>
          <w:b/>
          <w:sz w:val="18"/>
        </w:rPr>
        <w:t>6. Monitoring</w:t>
      </w:r>
    </w:p>
    <w:p w14:paraId="47F5C1E9" w14:textId="77777777" w:rsidR="00B64319" w:rsidRPr="00086C17" w:rsidRDefault="00000000" w:rsidP="00086C17">
      <w:pPr>
        <w:spacing w:after="60"/>
        <w:ind w:left="360"/>
        <w:rPr>
          <w:sz w:val="18"/>
          <w:szCs w:val="18"/>
        </w:rPr>
      </w:pPr>
      <w:r>
        <w:rPr>
          <w:rFonts w:ascii="Times New Roman" w:hAnsi="Times New Roman"/>
          <w:sz w:val="18"/>
        </w:rPr>
        <w:t>1. Shift Supervisors must conduct pre-shift inspections of dry bins, squeeze bottles, and syrup pumps to ensure all allergen labels are intact.</w:t>
      </w:r>
    </w:p>
    <w:p w14:paraId="3A1CD5CC" w14:textId="77777777" w:rsidR="00B64319" w:rsidRPr="00086C17" w:rsidRDefault="00000000" w:rsidP="00086C17">
      <w:pPr>
        <w:spacing w:after="60"/>
        <w:ind w:left="360"/>
        <w:rPr>
          <w:sz w:val="18"/>
          <w:szCs w:val="18"/>
        </w:rPr>
      </w:pPr>
      <w:r>
        <w:rPr>
          <w:rFonts w:ascii="Times New Roman" w:hAnsi="Times New Roman"/>
          <w:sz w:val="18"/>
        </w:rPr>
        <w:t>2. Blender pitcher cleanliness and steam wand purge compliance must be visually monitored continuously throughout operational service.</w:t>
      </w:r>
    </w:p>
    <w:p w14:paraId="7F42B7E4" w14:textId="77777777" w:rsidR="00B64319" w:rsidRPr="00086C17" w:rsidRDefault="00000000" w:rsidP="00086C17">
      <w:pPr>
        <w:spacing w:after="60"/>
        <w:ind w:left="360"/>
        <w:rPr>
          <w:sz w:val="18"/>
          <w:szCs w:val="18"/>
        </w:rPr>
      </w:pPr>
      <w:r>
        <w:rPr>
          <w:rFonts w:ascii="Times New Roman" w:hAnsi="Times New Roman"/>
          <w:sz w:val="18"/>
        </w:rPr>
        <w:t>3. Station segregation compliance and tool color-coding must be verified and logged daily in Form LOG-ALLERG-01.</w:t>
      </w:r>
    </w:p>
    <w:p w14:paraId="3D959C4A" w14:textId="77777777" w:rsidR="00B64319" w:rsidRPr="00086C17" w:rsidRDefault="00000000" w:rsidP="00086C17">
      <w:pPr>
        <w:spacing w:after="60"/>
        <w:ind w:left="360"/>
        <w:rPr>
          <w:sz w:val="18"/>
          <w:szCs w:val="18"/>
        </w:rPr>
      </w:pPr>
      <w:r>
        <w:rPr>
          <w:rFonts w:ascii="Times New Roman" w:hAnsi="Times New Roman"/>
          <w:sz w:val="18"/>
        </w:rPr>
        <w:t>4. The Lead FSCO will conduct monthly unannounced audits inspecting allergen storage layout, POS ticket tagging, and staff competency.</w:t>
      </w:r>
    </w:p>
    <w:p w14:paraId="2F99A377" w14:textId="77777777" w:rsidR="00B64319" w:rsidRPr="00086C17" w:rsidRDefault="00000000" w:rsidP="00086C17">
      <w:pPr>
        <w:spacing w:before="240" w:after="40"/>
        <w:rPr>
          <w:sz w:val="18"/>
          <w:szCs w:val="18"/>
        </w:rPr>
      </w:pPr>
      <w:r>
        <w:rPr>
          <w:rFonts w:ascii="Times New Roman" w:hAnsi="Times New Roman"/>
          <w:b/>
          <w:sz w:val="18"/>
        </w:rPr>
        <w:t>7. Corrective Action</w:t>
      </w:r>
    </w:p>
    <w:p w14:paraId="3420EB3E" w14:textId="77777777" w:rsidR="00B64319" w:rsidRPr="00086C17" w:rsidRDefault="00000000" w:rsidP="00086C17">
      <w:pPr>
        <w:spacing w:after="160"/>
        <w:rPr>
          <w:sz w:val="18"/>
          <w:szCs w:val="18"/>
        </w:rPr>
      </w:pPr>
      <w:r>
        <w:rPr>
          <w:rFonts w:ascii="Times New Roman" w:hAnsi="Times New Roman"/>
          <w:sz w:val="18"/>
        </w:rPr>
        <w:t>• Suspected Cross-Contact: Any allergen-free food or beverage that comes into unintended contact with an allergen must be discarded immediately. Re-plating or wiping off the allergenic ingredient is strictly prohibited.</w:t>
        <w:br/>
        <w:t>• Contaminated Equipment: If an allergen-designated tool or blender jar is used for standard food without prior sanitation, the item must be condemned, and the equipment re-sanitized.</w:t>
        <w:br/>
        <w:t>• Missing Menu Advisory / Label: If allergen signage or secondary container labels are missing or degraded, operations must immediately replace or re-sticker them before opening the shift.</w:t>
      </w:r>
    </w:p>
    <w:p w14:paraId="6DED6949" w14:textId="77777777" w:rsidR="00B64319" w:rsidRPr="00086C17" w:rsidRDefault="00000000" w:rsidP="00086C17">
      <w:pPr>
        <w:spacing w:before="240" w:after="40"/>
        <w:rPr>
          <w:sz w:val="18"/>
          <w:szCs w:val="18"/>
        </w:rPr>
      </w:pPr>
      <w:r>
        <w:rPr>
          <w:rFonts w:ascii="Times New Roman" w:hAnsi="Times New Roman"/>
          <w:b/>
          <w:sz w:val="18"/>
        </w:rPr>
        <w:t>8. Verification</w:t>
      </w:r>
    </w:p>
    <w:p w14:paraId="5120ED99" w14:textId="77777777" w:rsidR="00086C17" w:rsidRDefault="00000000" w:rsidP="00086C17">
      <w:pPr>
        <w:spacing w:after="160"/>
        <w:rPr>
          <w:sz w:val="18"/>
          <w:szCs w:val="18"/>
        </w:rPr>
      </w:pPr>
      <w:r>
        <w:rPr>
          <w:rFonts w:ascii="Times New Roman" w:hAnsi="Times New Roman"/>
          <w:sz w:val="18"/>
        </w:rPr>
        <w:t>• FSCO Document Review: The Lead FSCO will review and sign off on all completed LOG-ALLERG-01 verification sheets during monthly facility audits.</w:t>
        <w:br/>
        <w:t>• Competency Verification: The FSCO will conduct quarterly verbal drills assessing baristas and kitchen staff on allergen identification and cross-contact prevention protocols.</w:t>
      </w:r>
    </w:p>
    <w:p w14:paraId="62C15A82" w14:textId="77777777" w:rsidR="00A9312D" w:rsidRDefault="00A9312D" w:rsidP="00086C17">
      <w:pPr>
        <w:spacing w:after="160"/>
        <w:rPr>
          <w:b/>
          <w:sz w:val="18"/>
          <w:szCs w:val="18"/>
        </w:rPr>
      </w:pPr>
    </w:p>
    <w:p w14:paraId="35B8BA4B" w14:textId="77777777" w:rsidR="00A9312D" w:rsidRDefault="00A9312D" w:rsidP="00086C17">
      <w:pPr>
        <w:spacing w:after="160"/>
        <w:rPr>
          <w:b/>
          <w:sz w:val="18"/>
          <w:szCs w:val="18"/>
        </w:rPr>
      </w:pPr>
    </w:p>
    <w:p w14:paraId="57A86FED" w14:textId="77777777" w:rsidR="00A9312D" w:rsidRDefault="00A9312D" w:rsidP="00086C17">
      <w:pPr>
        <w:spacing w:after="160"/>
        <w:rPr>
          <w:b/>
          <w:sz w:val="18"/>
          <w:szCs w:val="18"/>
        </w:rPr>
      </w:pPr>
    </w:p>
    <w:p w14:paraId="2B211210" w14:textId="77777777" w:rsidR="00A9312D" w:rsidRDefault="00A9312D" w:rsidP="00086C17">
      <w:pPr>
        <w:spacing w:after="160"/>
        <w:rPr>
          <w:b/>
          <w:sz w:val="18"/>
          <w:szCs w:val="18"/>
        </w:rPr>
      </w:pPr>
    </w:p>
    <w:p w14:paraId="6AF76817" w14:textId="73DAC76A" w:rsidR="00B64319" w:rsidRPr="00086C17" w:rsidRDefault="00000000" w:rsidP="00086C17">
      <w:pPr>
        <w:spacing w:after="160"/>
        <w:rPr>
          <w:sz w:val="18"/>
          <w:szCs w:val="18"/>
        </w:rPr>
      </w:pPr>
      <w:r>
        <w:rPr>
          <w:rFonts w:ascii="Times New Roman" w:hAnsi="Times New Roman"/>
          <w:b/>
          <w:sz w:val="18"/>
        </w:rPr>
        <w:t>9. Records</w:t>
      </w:r>
    </w:p>
    <w:p w14:paraId="1F3F3574" w14:textId="77777777" w:rsidR="00086C17" w:rsidRDefault="00000000" w:rsidP="00086C17">
      <w:pPr>
        <w:spacing w:after="160"/>
        <w:rPr>
          <w:sz w:val="18"/>
          <w:szCs w:val="18"/>
        </w:rPr>
      </w:pPr>
      <w:r>
        <w:rPr>
          <w:rFonts w:ascii="Times New Roman" w:hAnsi="Times New Roman"/>
          <w:sz w:val="18"/>
        </w:rPr>
        <w:t>• Form LOG-ALLERG-01: Daily Allergen Matrix &amp; Tool Segregation Log</w:t>
        <w:br/>
        <w:t>• Form LOG-DEV-01: Deviation and Corrective Action Log</w:t>
        <w:br/>
        <w:t>• Supplier Ingredient Registry: Specification sheets and Allergen Declarations from approved raw material vendors.</w:t>
      </w:r>
    </w:p>
    <w:p w14:paraId="11204759" w14:textId="05DEE2C9" w:rsidR="003472D1" w:rsidRDefault="00086C17" w:rsidP="00086C17">
      <w:pPr>
        <w:spacing w:after="160"/>
        <w:rPr>
          <w:sz w:val="18"/>
          <w:szCs w:val="18"/>
        </w:rPr>
      </w:pPr>
      <w:r>
        <w:rPr>
          <w:rFonts w:ascii="Times New Roman" w:hAnsi="Times New Roman"/>
          <w:sz w:val="18"/>
        </w:rPr>
        <w:br/>
      </w:r>
      <w:r>
        <w:rPr>
          <w:rFonts w:ascii="Times New Roman" w:hAnsi="Times New Roman"/>
          <w:b/>
          <w:sz w:val="18"/>
        </w:rPr>
        <w:t>Prepared by</w:t>
      </w:r>
      <w:r>
        <w:rPr>
          <w:rFonts w:ascii="Times New Roman" w:hAnsi="Times New Roman"/>
          <w:b/>
          <w:sz w:val="18"/>
        </w:rPr>
        <w:t>:</w:t>
        <w:br/>
        <w:t>___________________________</w:t>
        <w:br/>
      </w:r>
      <w:r>
        <w:rPr>
          <w:rFonts w:ascii="Times New Roman" w:hAnsi="Times New Roman"/>
          <w:sz w:val="18"/>
        </w:rPr>
        <w:t>Lead Food Safety Compliance Officer (FSCO)</w:t>
        <w:br/>
        <w:t>Date: ___________________</w:t>
      </w:r>
    </w:p>
    <w:p w14:paraId="132C7EAE" w14:textId="77777777" w:rsidR="003472D1" w:rsidRDefault="003472D1" w:rsidP="00086C17">
      <w:pPr>
        <w:spacing w:after="160"/>
        <w:rPr>
          <w:sz w:val="18"/>
          <w:szCs w:val="18"/>
        </w:rPr>
      </w:pPr>
    </w:p>
    <w:p w14:paraId="1B1F0826" w14:textId="13252897" w:rsidR="00B64319" w:rsidRPr="00086C17" w:rsidRDefault="00086C17" w:rsidP="00086C17">
      <w:pPr>
        <w:spacing w:after="160"/>
        <w:rPr>
          <w:sz w:val="18"/>
          <w:szCs w:val="18"/>
        </w:rPr>
      </w:pPr>
      <w:r>
        <w:rPr>
          <w:rFonts w:ascii="Times New Roman" w:hAnsi="Times New Roman"/>
          <w:sz w:val="18"/>
        </w:rPr>
        <w:br/>
      </w:r>
      <w:r>
        <w:rPr>
          <w:rFonts w:ascii="Times New Roman" w:hAnsi="Times New Roman"/>
          <w:b/>
          <w:sz w:val="18"/>
        </w:rPr>
        <w:t>Acknowledged by</w:t>
      </w:r>
      <w:r>
        <w:rPr>
          <w:rFonts w:ascii="Times New Roman" w:hAnsi="Times New Roman"/>
          <w:b/>
          <w:sz w:val="18"/>
        </w:rPr>
        <w:t>:</w:t>
        <w:br/>
        <w:t>___________________________</w:t>
        <w:br/>
      </w:r>
      <w:r>
        <w:rPr>
          <w:rFonts w:ascii="Times New Roman" w:hAnsi="Times New Roman"/>
          <w:sz w:val="18"/>
        </w:rPr>
        <w:t>Store Operations Manager / Representative</w:t>
        <w:br/>
        <w:t>Date: ___________________</w:t>
        <w:br/>
      </w:r>
    </w:p>
    <w:p w14:paraId="17EEDFFF" w14:textId="77777777" w:rsidR="003472D1" w:rsidRDefault="003472D1">
      <w:pPr>
        <w:rPr>
          <w:b/>
          <w:sz w:val="18"/>
          <w:szCs w:val="18"/>
        </w:rPr>
      </w:pPr>
      <w:r>
        <w:rPr>
          <w:rFonts w:ascii="Times New Roman" w:hAnsi="Times New Roman"/>
          <w:b/>
          <w:sz w:val="18"/>
        </w:rPr>
      </w:r>
    </w:p>
    <w:p w14:paraId="10884AD0" w14:textId="7E302456" w:rsidR="00B64319" w:rsidRPr="00086C17" w:rsidRDefault="00000000" w:rsidP="00095F59">
      <w:pPr>
        <w:jc w:val="center"/>
        <w:rPr>
          <w:sz w:val="18"/>
          <w:szCs w:val="18"/>
        </w:rPr>
      </w:pPr>
      <w:r>
        <w:rPr>
          <w:rFonts w:ascii="Times New Roman" w:hAnsi="Times New Roman"/>
          <w:b/>
          <w:sz w:val="18"/>
        </w:rPr>
        <w:t>COMPLIANCE SYSTEM TOOLKIT</w:t>
        <w:br/>
        <w:t>FORM LOG-ALLERG-01: DAILY ALLERGEN MATRIX &amp; TOOL SEGREGATION LOG</w:t>
      </w:r>
    </w:p>
    <w:p w14:paraId="57AAB918" w14:textId="77777777" w:rsidR="00B64319" w:rsidRPr="00086C17" w:rsidRDefault="00000000" w:rsidP="00095F59">
      <w:pPr>
        <w:spacing w:before="120" w:after="240"/>
        <w:jc w:val="center"/>
        <w:rPr>
          <w:sz w:val="18"/>
          <w:szCs w:val="18"/>
        </w:rPr>
      </w:pPr>
      <w:r>
        <w:rPr>
          <w:rFonts w:ascii="Times New Roman" w:hAnsi="Times New Roman"/>
          <w:b/>
          <w:sz w:val="18"/>
        </w:rPr>
        <w:t xml:space="preserve">Instructions: </w:t>
      </w:r>
      <w:r>
        <w:rPr>
          <w:rFonts w:ascii="Times New Roman" w:hAnsi="Times New Roman"/>
          <w:sz w:val="18"/>
        </w:rPr>
        <w:t>This form must be completed daily by the shift manager prior to and during service. Mark 'Pass' or 'Fail' for each station metric. Any 'Fail' requires immediate corrective action recorded in LOG-DEV-01.</w:t>
      </w:r>
    </w:p>
    <w:tbl>
      <w:tblPr>
        <w:tblW w:w="10080" w:type="dxa"/>
        <w:jc w:val="center"/>
        <w:tblLayout w:type="fixed"/>
        <w:tblLook w:val="04A0" w:firstRow="1" w:lastRow="0" w:firstColumn="1" w:lastColumn="0" w:noHBand="0" w:noVBand="1"/>
      </w:tblPr>
      <w:tblGrid>
        <w:gridCol w:w="1296"/>
        <w:gridCol w:w="2016"/>
        <w:gridCol w:w="1296"/>
        <w:gridCol w:w="1296"/>
        <w:gridCol w:w="1296"/>
        <w:gridCol w:w="1296"/>
        <w:gridCol w:w="1584"/>
      </w:tblGrid>
      <w:tr w:rsidR="00B64319" w:rsidRPr="00086C17" w14:paraId="5F517524" w14:textId="77777777" w:rsidTr="00596CBF">
        <w:trPr>
          <w:jc w:val="center"/>
        </w:trPr>
        <w:tc>
          <w:tcPr>
            <w:tcW w:w="1296" w:type="dxa"/>
            <w:tcBorders>
              <w:top w:val="single" w:sz="4" w:space="0" w:color="444444"/>
              <w:left w:val="single" w:sz="4" w:space="0" w:color="444444"/>
              <w:bottom w:val="single" w:sz="4" w:space="0" w:color="444444"/>
              <w:right w:val="single" w:sz="4" w:space="0" w:color="444444"/>
            </w:tcBorders>
          </w:tcPr>
          <w:p>
            <w:r>
              <w:rPr>
                <w:rFonts w:ascii="Times New Roman" w:hAnsi="Times New Roman"/>
                <w:b/>
                <w:sz w:val="18"/>
              </w:rPr>
              <w:t>Date</w:t>
            </w:r>
          </w:p>
        </w:tc>
        <w:tc>
          <w:tcPr>
            <w:tcW w:w="2016" w:type="dxa"/>
            <w:tcBorders>
              <w:top w:val="single" w:sz="4" w:space="0" w:color="444444"/>
              <w:left w:val="single" w:sz="4" w:space="0" w:color="444444"/>
              <w:bottom w:val="single" w:sz="4" w:space="0" w:color="444444"/>
              <w:right w:val="single" w:sz="4" w:space="0" w:color="444444"/>
            </w:tcBorders>
          </w:tcPr>
          <w:p>
            <w:r>
              <w:rPr>
                <w:rFonts w:ascii="Times New Roman" w:hAnsi="Times New Roman"/>
                <w:b/>
                <w:sz w:val="18"/>
              </w:rPr>
              <w:t>Station / Shift</w:t>
            </w:r>
          </w:p>
        </w:tc>
        <w:tc>
          <w:tcPr>
            <w:tcW w:w="1296" w:type="dxa"/>
            <w:tcBorders>
              <w:top w:val="single" w:sz="4" w:space="0" w:color="444444"/>
              <w:left w:val="single" w:sz="4" w:space="0" w:color="444444"/>
              <w:bottom w:val="single" w:sz="4" w:space="0" w:color="444444"/>
              <w:right w:val="single" w:sz="4" w:space="0" w:color="444444"/>
            </w:tcBorders>
          </w:tcPr>
          <w:p>
            <w:r>
              <w:rPr>
                <w:rFonts w:ascii="Times New Roman" w:hAnsi="Times New Roman"/>
                <w:b/>
                <w:sz w:val="18"/>
              </w:rPr>
              <w:t>Tree Nut / Blender Segregated?</w:t>
            </w:r>
          </w:p>
        </w:tc>
        <w:tc>
          <w:tcPr>
            <w:tcW w:w="1296" w:type="dxa"/>
            <w:tcBorders>
              <w:top w:val="single" w:sz="4" w:space="0" w:color="444444"/>
              <w:left w:val="single" w:sz="4" w:space="0" w:color="444444"/>
              <w:bottom w:val="single" w:sz="4" w:space="0" w:color="444444"/>
              <w:right w:val="single" w:sz="4" w:space="0" w:color="444444"/>
            </w:tcBorders>
          </w:tcPr>
          <w:p>
            <w:r>
              <w:rPr>
                <w:rFonts w:ascii="Times New Roman" w:hAnsi="Times New Roman"/>
                <w:b/>
                <w:sz w:val="18"/>
              </w:rPr>
              <w:t>Dairy / Steam Wand Purged?</w:t>
            </w:r>
          </w:p>
        </w:tc>
        <w:tc>
          <w:tcPr>
            <w:tcW w:w="1296" w:type="dxa"/>
            <w:tcBorders>
              <w:top w:val="single" w:sz="4" w:space="0" w:color="444444"/>
              <w:left w:val="single" w:sz="4" w:space="0" w:color="444444"/>
              <w:bottom w:val="single" w:sz="4" w:space="0" w:color="444444"/>
              <w:right w:val="single" w:sz="4" w:space="0" w:color="444444"/>
            </w:tcBorders>
          </w:tcPr>
          <w:p>
            <w:r>
              <w:rPr>
                <w:rFonts w:ascii="Times New Roman" w:hAnsi="Times New Roman"/>
                <w:b/>
                <w:sz w:val="18"/>
              </w:rPr>
              <w:t>Tuna / Panini Tools Clean?</w:t>
            </w:r>
          </w:p>
        </w:tc>
        <w:tc>
          <w:tcPr>
            <w:tcW w:w="1296" w:type="dxa"/>
            <w:tcBorders>
              <w:top w:val="single" w:sz="4" w:space="0" w:color="444444"/>
              <w:left w:val="single" w:sz="4" w:space="0" w:color="444444"/>
              <w:bottom w:val="single" w:sz="4" w:space="0" w:color="444444"/>
              <w:right w:val="single" w:sz="4" w:space="0" w:color="444444"/>
            </w:tcBorders>
          </w:tcPr>
          <w:p>
            <w:r>
              <w:rPr>
                <w:rFonts w:ascii="Times New Roman" w:hAnsi="Times New Roman"/>
                <w:b/>
                <w:sz w:val="18"/>
              </w:rPr>
              <w:t>Allergen Labels / Advisory OK?</w:t>
            </w:r>
          </w:p>
        </w:tc>
        <w:tc>
          <w:tcPr>
            <w:tcW w:w="1584" w:type="dxa"/>
            <w:tcBorders>
              <w:top w:val="single" w:sz="4" w:space="0" w:color="444444"/>
              <w:left w:val="single" w:sz="4" w:space="0" w:color="444444"/>
              <w:bottom w:val="single" w:sz="4" w:space="0" w:color="444444"/>
              <w:right w:val="single" w:sz="4" w:space="0" w:color="444444"/>
            </w:tcBorders>
          </w:tcPr>
          <w:p>
            <w:r>
              <w:rPr>
                <w:rFonts w:ascii="Times New Roman" w:hAnsi="Times New Roman"/>
                <w:b/>
                <w:sz w:val="18"/>
              </w:rPr>
              <w:t>Manager Sign-Off</w:t>
            </w:r>
          </w:p>
        </w:tc>
      </w:tr>
      <w:tr w:rsidR="00B64319" w:rsidRPr="00086C17" w14:paraId="40F017A2" w14:textId="77777777" w:rsidTr="00596CBF">
        <w:trPr>
          <w:jc w:val="center"/>
        </w:trPr>
        <w:tc>
          <w:tcPr>
            <w:tcW w:w="1296" w:type="dxa"/>
            <w:tcBorders>
              <w:top w:val="single" w:sz="4" w:space="0" w:color="444444"/>
              <w:left w:val="single" w:sz="4" w:space="0" w:color="444444"/>
              <w:bottom w:val="single" w:sz="4" w:space="0" w:color="444444"/>
              <w:right w:val="single" w:sz="4" w:space="0" w:color="444444"/>
            </w:tcBorders>
          </w:tcPr>
          <w:p>
            <w:r/>
          </w:p>
        </w:tc>
        <w:tc>
          <w:tcPr>
            <w:tcW w:w="201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584" w:type="dxa"/>
            <w:tcBorders>
              <w:top w:val="single" w:sz="4" w:space="0" w:color="444444"/>
              <w:left w:val="single" w:sz="4" w:space="0" w:color="444444"/>
              <w:bottom w:val="single" w:sz="4" w:space="0" w:color="444444"/>
              <w:right w:val="single" w:sz="4" w:space="0" w:color="444444"/>
            </w:tcBorders>
          </w:tcPr>
          <w:p>
            <w:r/>
          </w:p>
        </w:tc>
      </w:tr>
      <w:tr w:rsidR="00B64319" w:rsidRPr="00086C17" w14:paraId="6EFF5F76" w14:textId="77777777" w:rsidTr="00596CBF">
        <w:trPr>
          <w:jc w:val="center"/>
        </w:trPr>
        <w:tc>
          <w:tcPr>
            <w:tcW w:w="1296" w:type="dxa"/>
            <w:tcBorders>
              <w:top w:val="single" w:sz="4" w:space="0" w:color="444444"/>
              <w:left w:val="single" w:sz="4" w:space="0" w:color="444444"/>
              <w:bottom w:val="single" w:sz="4" w:space="0" w:color="444444"/>
              <w:right w:val="single" w:sz="4" w:space="0" w:color="444444"/>
            </w:tcBorders>
          </w:tcPr>
          <w:p>
            <w:r/>
          </w:p>
        </w:tc>
        <w:tc>
          <w:tcPr>
            <w:tcW w:w="201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584" w:type="dxa"/>
            <w:tcBorders>
              <w:top w:val="single" w:sz="4" w:space="0" w:color="444444"/>
              <w:left w:val="single" w:sz="4" w:space="0" w:color="444444"/>
              <w:bottom w:val="single" w:sz="4" w:space="0" w:color="444444"/>
              <w:right w:val="single" w:sz="4" w:space="0" w:color="444444"/>
            </w:tcBorders>
          </w:tcPr>
          <w:p>
            <w:r/>
          </w:p>
        </w:tc>
      </w:tr>
      <w:tr w:rsidR="00B64319" w:rsidRPr="00086C17" w14:paraId="6D3321CD" w14:textId="77777777" w:rsidTr="00596CBF">
        <w:trPr>
          <w:jc w:val="center"/>
        </w:trPr>
        <w:tc>
          <w:tcPr>
            <w:tcW w:w="1296" w:type="dxa"/>
            <w:tcBorders>
              <w:top w:val="single" w:sz="4" w:space="0" w:color="444444"/>
              <w:left w:val="single" w:sz="4" w:space="0" w:color="444444"/>
              <w:bottom w:val="single" w:sz="4" w:space="0" w:color="444444"/>
              <w:right w:val="single" w:sz="4" w:space="0" w:color="444444"/>
            </w:tcBorders>
          </w:tcPr>
          <w:p>
            <w:r/>
          </w:p>
        </w:tc>
        <w:tc>
          <w:tcPr>
            <w:tcW w:w="201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584" w:type="dxa"/>
            <w:tcBorders>
              <w:top w:val="single" w:sz="4" w:space="0" w:color="444444"/>
              <w:left w:val="single" w:sz="4" w:space="0" w:color="444444"/>
              <w:bottom w:val="single" w:sz="4" w:space="0" w:color="444444"/>
              <w:right w:val="single" w:sz="4" w:space="0" w:color="444444"/>
            </w:tcBorders>
          </w:tcPr>
          <w:p>
            <w:r/>
          </w:p>
        </w:tc>
      </w:tr>
      <w:tr w:rsidR="00B64319" w:rsidRPr="00086C17" w14:paraId="24DED34A" w14:textId="77777777" w:rsidTr="00596CBF">
        <w:trPr>
          <w:jc w:val="center"/>
        </w:trPr>
        <w:tc>
          <w:tcPr>
            <w:tcW w:w="1296" w:type="dxa"/>
            <w:tcBorders>
              <w:top w:val="single" w:sz="4" w:space="0" w:color="444444"/>
              <w:left w:val="single" w:sz="4" w:space="0" w:color="444444"/>
              <w:bottom w:val="single" w:sz="4" w:space="0" w:color="444444"/>
              <w:right w:val="single" w:sz="4" w:space="0" w:color="444444"/>
            </w:tcBorders>
          </w:tcPr>
          <w:p>
            <w:r/>
          </w:p>
        </w:tc>
        <w:tc>
          <w:tcPr>
            <w:tcW w:w="201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584" w:type="dxa"/>
            <w:tcBorders>
              <w:top w:val="single" w:sz="4" w:space="0" w:color="444444"/>
              <w:left w:val="single" w:sz="4" w:space="0" w:color="444444"/>
              <w:bottom w:val="single" w:sz="4" w:space="0" w:color="444444"/>
              <w:right w:val="single" w:sz="4" w:space="0" w:color="444444"/>
            </w:tcBorders>
          </w:tcPr>
          <w:p>
            <w:r/>
          </w:p>
        </w:tc>
      </w:tr>
      <w:tr w:rsidR="00596CBF" w:rsidRPr="00086C17" w14:paraId="336E37D3" w14:textId="77777777" w:rsidTr="00596CBF">
        <w:trPr>
          <w:jc w:val="center"/>
        </w:trPr>
        <w:tc>
          <w:tcPr>
            <w:tcW w:w="1296" w:type="dxa"/>
            <w:tcBorders>
              <w:top w:val="single" w:sz="4" w:space="0" w:color="444444"/>
              <w:left w:val="single" w:sz="4" w:space="0" w:color="444444"/>
              <w:bottom w:val="single" w:sz="4" w:space="0" w:color="444444"/>
              <w:right w:val="single" w:sz="4" w:space="0" w:color="444444"/>
            </w:tcBorders>
          </w:tcPr>
          <w:p>
            <w:r/>
          </w:p>
        </w:tc>
        <w:tc>
          <w:tcPr>
            <w:tcW w:w="201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584" w:type="dxa"/>
            <w:tcBorders>
              <w:top w:val="single" w:sz="4" w:space="0" w:color="444444"/>
              <w:left w:val="single" w:sz="4" w:space="0" w:color="444444"/>
              <w:bottom w:val="single" w:sz="4" w:space="0" w:color="444444"/>
              <w:right w:val="single" w:sz="4" w:space="0" w:color="444444"/>
            </w:tcBorders>
          </w:tcPr>
          <w:p>
            <w:r/>
          </w:p>
        </w:tc>
      </w:tr>
      <w:tr w:rsidR="00596CBF" w:rsidRPr="00086C17" w14:paraId="0B4EB471" w14:textId="77777777" w:rsidTr="00596CBF">
        <w:trPr>
          <w:jc w:val="center"/>
        </w:trPr>
        <w:tc>
          <w:tcPr>
            <w:tcW w:w="1296" w:type="dxa"/>
            <w:tcBorders>
              <w:top w:val="single" w:sz="4" w:space="0" w:color="444444"/>
              <w:left w:val="single" w:sz="4" w:space="0" w:color="444444"/>
              <w:bottom w:val="single" w:sz="4" w:space="0" w:color="444444"/>
              <w:right w:val="single" w:sz="4" w:space="0" w:color="444444"/>
            </w:tcBorders>
          </w:tcPr>
          <w:p>
            <w:r/>
          </w:p>
        </w:tc>
        <w:tc>
          <w:tcPr>
            <w:tcW w:w="201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584" w:type="dxa"/>
            <w:tcBorders>
              <w:top w:val="single" w:sz="4" w:space="0" w:color="444444"/>
              <w:left w:val="single" w:sz="4" w:space="0" w:color="444444"/>
              <w:bottom w:val="single" w:sz="4" w:space="0" w:color="444444"/>
              <w:right w:val="single" w:sz="4" w:space="0" w:color="444444"/>
            </w:tcBorders>
          </w:tcPr>
          <w:p>
            <w:r/>
          </w:p>
        </w:tc>
      </w:tr>
      <w:tr w:rsidR="00596CBF" w:rsidRPr="00086C17" w14:paraId="38FCA3C9" w14:textId="77777777" w:rsidTr="00596CBF">
        <w:trPr>
          <w:jc w:val="center"/>
        </w:trPr>
        <w:tc>
          <w:tcPr>
            <w:tcW w:w="1296" w:type="dxa"/>
            <w:tcBorders>
              <w:top w:val="single" w:sz="4" w:space="0" w:color="444444"/>
              <w:left w:val="single" w:sz="4" w:space="0" w:color="444444"/>
              <w:bottom w:val="single" w:sz="4" w:space="0" w:color="444444"/>
              <w:right w:val="single" w:sz="4" w:space="0" w:color="444444"/>
            </w:tcBorders>
          </w:tcPr>
          <w:p>
            <w:r/>
          </w:p>
        </w:tc>
        <w:tc>
          <w:tcPr>
            <w:tcW w:w="201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584" w:type="dxa"/>
            <w:tcBorders>
              <w:top w:val="single" w:sz="4" w:space="0" w:color="444444"/>
              <w:left w:val="single" w:sz="4" w:space="0" w:color="444444"/>
              <w:bottom w:val="single" w:sz="4" w:space="0" w:color="444444"/>
              <w:right w:val="single" w:sz="4" w:space="0" w:color="444444"/>
            </w:tcBorders>
          </w:tcPr>
          <w:p>
            <w:r/>
          </w:p>
        </w:tc>
      </w:tr>
      <w:tr w:rsidR="00596CBF" w:rsidRPr="00086C17" w14:paraId="37C6F4AE" w14:textId="77777777" w:rsidTr="00596CBF">
        <w:trPr>
          <w:jc w:val="center"/>
        </w:trPr>
        <w:tc>
          <w:tcPr>
            <w:tcW w:w="1296" w:type="dxa"/>
            <w:tcBorders>
              <w:top w:val="single" w:sz="4" w:space="0" w:color="444444"/>
              <w:left w:val="single" w:sz="4" w:space="0" w:color="444444"/>
              <w:bottom w:val="single" w:sz="4" w:space="0" w:color="444444"/>
              <w:right w:val="single" w:sz="4" w:space="0" w:color="444444"/>
            </w:tcBorders>
          </w:tcPr>
          <w:p>
            <w:r/>
          </w:p>
        </w:tc>
        <w:tc>
          <w:tcPr>
            <w:tcW w:w="201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584" w:type="dxa"/>
            <w:tcBorders>
              <w:top w:val="single" w:sz="4" w:space="0" w:color="444444"/>
              <w:left w:val="single" w:sz="4" w:space="0" w:color="444444"/>
              <w:bottom w:val="single" w:sz="4" w:space="0" w:color="444444"/>
              <w:right w:val="single" w:sz="4" w:space="0" w:color="444444"/>
            </w:tcBorders>
          </w:tcPr>
          <w:p>
            <w:r/>
          </w:p>
        </w:tc>
      </w:tr>
      <w:tr w:rsidR="00596CBF" w:rsidRPr="00086C17" w14:paraId="7DC54964" w14:textId="77777777" w:rsidTr="00596CBF">
        <w:trPr>
          <w:jc w:val="center"/>
        </w:trPr>
        <w:tc>
          <w:tcPr>
            <w:tcW w:w="1296" w:type="dxa"/>
            <w:tcBorders>
              <w:top w:val="single" w:sz="4" w:space="0" w:color="444444"/>
              <w:left w:val="single" w:sz="4" w:space="0" w:color="444444"/>
              <w:bottom w:val="single" w:sz="4" w:space="0" w:color="444444"/>
              <w:right w:val="single" w:sz="4" w:space="0" w:color="444444"/>
            </w:tcBorders>
          </w:tcPr>
          <w:p>
            <w:r/>
          </w:p>
        </w:tc>
        <w:tc>
          <w:tcPr>
            <w:tcW w:w="201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584" w:type="dxa"/>
            <w:tcBorders>
              <w:top w:val="single" w:sz="4" w:space="0" w:color="444444"/>
              <w:left w:val="single" w:sz="4" w:space="0" w:color="444444"/>
              <w:bottom w:val="single" w:sz="4" w:space="0" w:color="444444"/>
              <w:right w:val="single" w:sz="4" w:space="0" w:color="444444"/>
            </w:tcBorders>
          </w:tcPr>
          <w:p>
            <w:r/>
          </w:p>
        </w:tc>
      </w:tr>
      <w:tr w:rsidR="00596CBF" w:rsidRPr="00086C17" w14:paraId="3CC205C5" w14:textId="77777777" w:rsidTr="00596CBF">
        <w:trPr>
          <w:jc w:val="center"/>
        </w:trPr>
        <w:tc>
          <w:tcPr>
            <w:tcW w:w="1296" w:type="dxa"/>
            <w:tcBorders>
              <w:top w:val="single" w:sz="4" w:space="0" w:color="444444"/>
              <w:left w:val="single" w:sz="4" w:space="0" w:color="444444"/>
              <w:bottom w:val="single" w:sz="4" w:space="0" w:color="444444"/>
              <w:right w:val="single" w:sz="4" w:space="0" w:color="444444"/>
            </w:tcBorders>
          </w:tcPr>
          <w:p>
            <w:r/>
          </w:p>
        </w:tc>
        <w:tc>
          <w:tcPr>
            <w:tcW w:w="201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584" w:type="dxa"/>
            <w:tcBorders>
              <w:top w:val="single" w:sz="4" w:space="0" w:color="444444"/>
              <w:left w:val="single" w:sz="4" w:space="0" w:color="444444"/>
              <w:bottom w:val="single" w:sz="4" w:space="0" w:color="444444"/>
              <w:right w:val="single" w:sz="4" w:space="0" w:color="444444"/>
            </w:tcBorders>
          </w:tcPr>
          <w:p>
            <w:r/>
          </w:p>
        </w:tc>
      </w:tr>
      <w:tr w:rsidR="00596CBF" w:rsidRPr="00086C17" w14:paraId="2F243DBF" w14:textId="77777777" w:rsidTr="00596CBF">
        <w:trPr>
          <w:jc w:val="center"/>
        </w:trPr>
        <w:tc>
          <w:tcPr>
            <w:tcW w:w="1296" w:type="dxa"/>
            <w:tcBorders>
              <w:top w:val="single" w:sz="4" w:space="0" w:color="444444"/>
              <w:left w:val="single" w:sz="4" w:space="0" w:color="444444"/>
              <w:bottom w:val="single" w:sz="4" w:space="0" w:color="444444"/>
              <w:right w:val="single" w:sz="4" w:space="0" w:color="444444"/>
            </w:tcBorders>
          </w:tcPr>
          <w:p>
            <w:r/>
          </w:p>
        </w:tc>
        <w:tc>
          <w:tcPr>
            <w:tcW w:w="201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584" w:type="dxa"/>
            <w:tcBorders>
              <w:top w:val="single" w:sz="4" w:space="0" w:color="444444"/>
              <w:left w:val="single" w:sz="4" w:space="0" w:color="444444"/>
              <w:bottom w:val="single" w:sz="4" w:space="0" w:color="444444"/>
              <w:right w:val="single" w:sz="4" w:space="0" w:color="444444"/>
            </w:tcBorders>
          </w:tcPr>
          <w:p>
            <w:r/>
          </w:p>
        </w:tc>
      </w:tr>
      <w:tr w:rsidR="00596CBF" w:rsidRPr="00086C17" w14:paraId="339A0B66" w14:textId="77777777" w:rsidTr="00596CBF">
        <w:trPr>
          <w:jc w:val="center"/>
        </w:trPr>
        <w:tc>
          <w:tcPr>
            <w:tcW w:w="1296" w:type="dxa"/>
            <w:tcBorders>
              <w:top w:val="single" w:sz="4" w:space="0" w:color="444444"/>
              <w:left w:val="single" w:sz="4" w:space="0" w:color="444444"/>
              <w:bottom w:val="single" w:sz="4" w:space="0" w:color="444444"/>
              <w:right w:val="single" w:sz="4" w:space="0" w:color="444444"/>
            </w:tcBorders>
          </w:tcPr>
          <w:p>
            <w:r/>
          </w:p>
        </w:tc>
        <w:tc>
          <w:tcPr>
            <w:tcW w:w="201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584" w:type="dxa"/>
            <w:tcBorders>
              <w:top w:val="single" w:sz="4" w:space="0" w:color="444444"/>
              <w:left w:val="single" w:sz="4" w:space="0" w:color="444444"/>
              <w:bottom w:val="single" w:sz="4" w:space="0" w:color="444444"/>
              <w:right w:val="single" w:sz="4" w:space="0" w:color="444444"/>
            </w:tcBorders>
          </w:tcPr>
          <w:p>
            <w:r/>
          </w:p>
        </w:tc>
      </w:tr>
      <w:tr w:rsidR="00596CBF" w:rsidRPr="00086C17" w14:paraId="32962891" w14:textId="77777777" w:rsidTr="00596CBF">
        <w:trPr>
          <w:jc w:val="center"/>
        </w:trPr>
        <w:tc>
          <w:tcPr>
            <w:tcW w:w="1296" w:type="dxa"/>
            <w:tcBorders>
              <w:top w:val="single" w:sz="4" w:space="0" w:color="444444"/>
              <w:left w:val="single" w:sz="4" w:space="0" w:color="444444"/>
              <w:bottom w:val="single" w:sz="4" w:space="0" w:color="444444"/>
              <w:right w:val="single" w:sz="4" w:space="0" w:color="444444"/>
            </w:tcBorders>
          </w:tcPr>
          <w:p>
            <w:r/>
          </w:p>
        </w:tc>
        <w:tc>
          <w:tcPr>
            <w:tcW w:w="201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584" w:type="dxa"/>
            <w:tcBorders>
              <w:top w:val="single" w:sz="4" w:space="0" w:color="444444"/>
              <w:left w:val="single" w:sz="4" w:space="0" w:color="444444"/>
              <w:bottom w:val="single" w:sz="4" w:space="0" w:color="444444"/>
              <w:right w:val="single" w:sz="4" w:space="0" w:color="444444"/>
            </w:tcBorders>
          </w:tcPr>
          <w:p>
            <w:r/>
          </w:p>
        </w:tc>
      </w:tr>
      <w:tr w:rsidR="00596CBF" w:rsidRPr="00086C17" w14:paraId="02B602AA" w14:textId="77777777" w:rsidTr="00596CBF">
        <w:trPr>
          <w:jc w:val="center"/>
        </w:trPr>
        <w:tc>
          <w:tcPr>
            <w:tcW w:w="1296" w:type="dxa"/>
            <w:tcBorders>
              <w:top w:val="single" w:sz="4" w:space="0" w:color="444444"/>
              <w:left w:val="single" w:sz="4" w:space="0" w:color="444444"/>
              <w:bottom w:val="single" w:sz="4" w:space="0" w:color="444444"/>
              <w:right w:val="single" w:sz="4" w:space="0" w:color="444444"/>
            </w:tcBorders>
          </w:tcPr>
          <w:p>
            <w:r/>
          </w:p>
        </w:tc>
        <w:tc>
          <w:tcPr>
            <w:tcW w:w="201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584" w:type="dxa"/>
            <w:tcBorders>
              <w:top w:val="single" w:sz="4" w:space="0" w:color="444444"/>
              <w:left w:val="single" w:sz="4" w:space="0" w:color="444444"/>
              <w:bottom w:val="single" w:sz="4" w:space="0" w:color="444444"/>
              <w:right w:val="single" w:sz="4" w:space="0" w:color="444444"/>
            </w:tcBorders>
          </w:tcPr>
          <w:p>
            <w:r/>
          </w:p>
        </w:tc>
      </w:tr>
      <w:tr w:rsidR="00596CBF" w:rsidRPr="00086C17" w14:paraId="1B587CFD" w14:textId="77777777" w:rsidTr="00596CBF">
        <w:trPr>
          <w:jc w:val="center"/>
        </w:trPr>
        <w:tc>
          <w:tcPr>
            <w:tcW w:w="1296" w:type="dxa"/>
            <w:tcBorders>
              <w:top w:val="single" w:sz="4" w:space="0" w:color="444444"/>
              <w:left w:val="single" w:sz="4" w:space="0" w:color="444444"/>
              <w:bottom w:val="single" w:sz="4" w:space="0" w:color="444444"/>
              <w:right w:val="single" w:sz="4" w:space="0" w:color="444444"/>
            </w:tcBorders>
          </w:tcPr>
          <w:p>
            <w:r/>
          </w:p>
        </w:tc>
        <w:tc>
          <w:tcPr>
            <w:tcW w:w="201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584" w:type="dxa"/>
            <w:tcBorders>
              <w:top w:val="single" w:sz="4" w:space="0" w:color="444444"/>
              <w:left w:val="single" w:sz="4" w:space="0" w:color="444444"/>
              <w:bottom w:val="single" w:sz="4" w:space="0" w:color="444444"/>
              <w:right w:val="single" w:sz="4" w:space="0" w:color="444444"/>
            </w:tcBorders>
          </w:tcPr>
          <w:p>
            <w:r/>
          </w:p>
        </w:tc>
      </w:tr>
      <w:tr w:rsidR="00596CBF" w:rsidRPr="00086C17" w14:paraId="6DF4F05A" w14:textId="77777777" w:rsidTr="00596CBF">
        <w:trPr>
          <w:jc w:val="center"/>
        </w:trPr>
        <w:tc>
          <w:tcPr>
            <w:tcW w:w="1296" w:type="dxa"/>
            <w:tcBorders>
              <w:top w:val="single" w:sz="4" w:space="0" w:color="444444"/>
              <w:left w:val="single" w:sz="4" w:space="0" w:color="444444"/>
              <w:bottom w:val="single" w:sz="4" w:space="0" w:color="444444"/>
              <w:right w:val="single" w:sz="4" w:space="0" w:color="444444"/>
            </w:tcBorders>
          </w:tcPr>
          <w:p>
            <w:r/>
          </w:p>
        </w:tc>
        <w:tc>
          <w:tcPr>
            <w:tcW w:w="201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584" w:type="dxa"/>
            <w:tcBorders>
              <w:top w:val="single" w:sz="4" w:space="0" w:color="444444"/>
              <w:left w:val="single" w:sz="4" w:space="0" w:color="444444"/>
              <w:bottom w:val="single" w:sz="4" w:space="0" w:color="444444"/>
              <w:right w:val="single" w:sz="4" w:space="0" w:color="444444"/>
            </w:tcBorders>
          </w:tcPr>
          <w:p>
            <w:r/>
          </w:p>
        </w:tc>
      </w:tr>
      <w:tr w:rsidR="00596CBF" w:rsidRPr="00086C17" w14:paraId="31CF25B3" w14:textId="77777777" w:rsidTr="00596CBF">
        <w:trPr>
          <w:jc w:val="center"/>
        </w:trPr>
        <w:tc>
          <w:tcPr>
            <w:tcW w:w="1296" w:type="dxa"/>
            <w:tcBorders>
              <w:top w:val="single" w:sz="4" w:space="0" w:color="444444"/>
              <w:left w:val="single" w:sz="4" w:space="0" w:color="444444"/>
              <w:bottom w:val="single" w:sz="4" w:space="0" w:color="444444"/>
              <w:right w:val="single" w:sz="4" w:space="0" w:color="444444"/>
            </w:tcBorders>
          </w:tcPr>
          <w:p>
            <w:r/>
          </w:p>
        </w:tc>
        <w:tc>
          <w:tcPr>
            <w:tcW w:w="201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584" w:type="dxa"/>
            <w:tcBorders>
              <w:top w:val="single" w:sz="4" w:space="0" w:color="444444"/>
              <w:left w:val="single" w:sz="4" w:space="0" w:color="444444"/>
              <w:bottom w:val="single" w:sz="4" w:space="0" w:color="444444"/>
              <w:right w:val="single" w:sz="4" w:space="0" w:color="444444"/>
            </w:tcBorders>
          </w:tcPr>
          <w:p>
            <w:r/>
          </w:p>
        </w:tc>
      </w:tr>
      <w:tr w:rsidR="00596CBF" w:rsidRPr="00086C17" w14:paraId="693966C7" w14:textId="77777777" w:rsidTr="00596CBF">
        <w:trPr>
          <w:jc w:val="center"/>
        </w:trPr>
        <w:tc>
          <w:tcPr>
            <w:tcW w:w="1296" w:type="dxa"/>
            <w:tcBorders>
              <w:top w:val="single" w:sz="4" w:space="0" w:color="444444"/>
              <w:left w:val="single" w:sz="4" w:space="0" w:color="444444"/>
              <w:bottom w:val="single" w:sz="4" w:space="0" w:color="444444"/>
              <w:right w:val="single" w:sz="4" w:space="0" w:color="444444"/>
            </w:tcBorders>
          </w:tcPr>
          <w:p>
            <w:r/>
          </w:p>
        </w:tc>
        <w:tc>
          <w:tcPr>
            <w:tcW w:w="201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584" w:type="dxa"/>
            <w:tcBorders>
              <w:top w:val="single" w:sz="4" w:space="0" w:color="444444"/>
              <w:left w:val="single" w:sz="4" w:space="0" w:color="444444"/>
              <w:bottom w:val="single" w:sz="4" w:space="0" w:color="444444"/>
              <w:right w:val="single" w:sz="4" w:space="0" w:color="444444"/>
            </w:tcBorders>
          </w:tcPr>
          <w:p>
            <w:r/>
          </w:p>
        </w:tc>
      </w:tr>
      <w:tr w:rsidR="00596CBF" w:rsidRPr="00086C17" w14:paraId="476258BF" w14:textId="77777777" w:rsidTr="00596CBF">
        <w:trPr>
          <w:jc w:val="center"/>
        </w:trPr>
        <w:tc>
          <w:tcPr>
            <w:tcW w:w="1296" w:type="dxa"/>
            <w:tcBorders>
              <w:top w:val="single" w:sz="4" w:space="0" w:color="444444"/>
              <w:left w:val="single" w:sz="4" w:space="0" w:color="444444"/>
              <w:bottom w:val="single" w:sz="4" w:space="0" w:color="444444"/>
              <w:right w:val="single" w:sz="4" w:space="0" w:color="444444"/>
            </w:tcBorders>
          </w:tcPr>
          <w:p>
            <w:r/>
          </w:p>
        </w:tc>
        <w:tc>
          <w:tcPr>
            <w:tcW w:w="201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584" w:type="dxa"/>
            <w:tcBorders>
              <w:top w:val="single" w:sz="4" w:space="0" w:color="444444"/>
              <w:left w:val="single" w:sz="4" w:space="0" w:color="444444"/>
              <w:bottom w:val="single" w:sz="4" w:space="0" w:color="444444"/>
              <w:right w:val="single" w:sz="4" w:space="0" w:color="444444"/>
            </w:tcBorders>
          </w:tcPr>
          <w:p>
            <w:r/>
          </w:p>
        </w:tc>
      </w:tr>
      <w:tr w:rsidR="00596CBF" w:rsidRPr="00086C17" w14:paraId="70348AE4" w14:textId="77777777" w:rsidTr="00596CBF">
        <w:trPr>
          <w:jc w:val="center"/>
        </w:trPr>
        <w:tc>
          <w:tcPr>
            <w:tcW w:w="1296" w:type="dxa"/>
            <w:tcBorders>
              <w:top w:val="single" w:sz="4" w:space="0" w:color="444444"/>
              <w:left w:val="single" w:sz="4" w:space="0" w:color="444444"/>
              <w:bottom w:val="single" w:sz="4" w:space="0" w:color="444444"/>
              <w:right w:val="single" w:sz="4" w:space="0" w:color="444444"/>
            </w:tcBorders>
          </w:tcPr>
          <w:p>
            <w:r/>
          </w:p>
        </w:tc>
        <w:tc>
          <w:tcPr>
            <w:tcW w:w="201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584" w:type="dxa"/>
            <w:tcBorders>
              <w:top w:val="single" w:sz="4" w:space="0" w:color="444444"/>
              <w:left w:val="single" w:sz="4" w:space="0" w:color="444444"/>
              <w:bottom w:val="single" w:sz="4" w:space="0" w:color="444444"/>
              <w:right w:val="single" w:sz="4" w:space="0" w:color="444444"/>
            </w:tcBorders>
          </w:tcPr>
          <w:p>
            <w:r/>
          </w:p>
        </w:tc>
      </w:tr>
      <w:tr w:rsidR="00596CBF" w:rsidRPr="00086C17" w14:paraId="19CEA678" w14:textId="77777777" w:rsidTr="00596CBF">
        <w:trPr>
          <w:jc w:val="center"/>
        </w:trPr>
        <w:tc>
          <w:tcPr>
            <w:tcW w:w="1296" w:type="dxa"/>
            <w:tcBorders>
              <w:top w:val="single" w:sz="4" w:space="0" w:color="444444"/>
              <w:left w:val="single" w:sz="4" w:space="0" w:color="444444"/>
              <w:bottom w:val="single" w:sz="4" w:space="0" w:color="444444"/>
              <w:right w:val="single" w:sz="4" w:space="0" w:color="444444"/>
            </w:tcBorders>
          </w:tcPr>
          <w:p>
            <w:r/>
          </w:p>
        </w:tc>
        <w:tc>
          <w:tcPr>
            <w:tcW w:w="201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584" w:type="dxa"/>
            <w:tcBorders>
              <w:top w:val="single" w:sz="4" w:space="0" w:color="444444"/>
              <w:left w:val="single" w:sz="4" w:space="0" w:color="444444"/>
              <w:bottom w:val="single" w:sz="4" w:space="0" w:color="444444"/>
              <w:right w:val="single" w:sz="4" w:space="0" w:color="444444"/>
            </w:tcBorders>
          </w:tcPr>
          <w:p>
            <w:r/>
          </w:p>
        </w:tc>
      </w:tr>
      <w:tr w:rsidR="00596CBF" w:rsidRPr="00086C17" w14:paraId="348695E2" w14:textId="77777777" w:rsidTr="00596CBF">
        <w:trPr>
          <w:jc w:val="center"/>
        </w:trPr>
        <w:tc>
          <w:tcPr>
            <w:tcW w:w="1296" w:type="dxa"/>
            <w:tcBorders>
              <w:top w:val="single" w:sz="4" w:space="0" w:color="444444"/>
              <w:left w:val="single" w:sz="4" w:space="0" w:color="444444"/>
              <w:bottom w:val="single" w:sz="4" w:space="0" w:color="444444"/>
              <w:right w:val="single" w:sz="4" w:space="0" w:color="444444"/>
            </w:tcBorders>
          </w:tcPr>
          <w:p>
            <w:r/>
          </w:p>
        </w:tc>
        <w:tc>
          <w:tcPr>
            <w:tcW w:w="201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584" w:type="dxa"/>
            <w:tcBorders>
              <w:top w:val="single" w:sz="4" w:space="0" w:color="444444"/>
              <w:left w:val="single" w:sz="4" w:space="0" w:color="444444"/>
              <w:bottom w:val="single" w:sz="4" w:space="0" w:color="444444"/>
              <w:right w:val="single" w:sz="4" w:space="0" w:color="444444"/>
            </w:tcBorders>
          </w:tcPr>
          <w:p>
            <w:r/>
          </w:p>
        </w:tc>
      </w:tr>
    </w:tbl>
    <w:p w14:paraId="135C934E" w14:textId="1351EB39" w:rsidR="00B64319" w:rsidRPr="00086C17" w:rsidRDefault="00B64319" w:rsidP="00086C17">
      <w:pPr>
        <w:spacing w:before="720"/>
        <w:rPr>
          <w:sz w:val="18"/>
          <w:szCs w:val="18"/>
        </w:rPr>
      </w:pPr>
    </w:p>
    <w:sectPr w:rsidR="00B64319" w:rsidRPr="00086C17" w:rsidSect="00A9312D">
      <w:pgSz w:w="11906" w:h="16838"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1969303">
    <w:abstractNumId w:val="8"/>
  </w:num>
  <w:num w:numId="2" w16cid:durableId="107047270">
    <w:abstractNumId w:val="6"/>
  </w:num>
  <w:num w:numId="3" w16cid:durableId="1717971843">
    <w:abstractNumId w:val="5"/>
  </w:num>
  <w:num w:numId="4" w16cid:durableId="1023290998">
    <w:abstractNumId w:val="4"/>
  </w:num>
  <w:num w:numId="5" w16cid:durableId="2057390201">
    <w:abstractNumId w:val="7"/>
  </w:num>
  <w:num w:numId="6" w16cid:durableId="2064786849">
    <w:abstractNumId w:val="3"/>
  </w:num>
  <w:num w:numId="7" w16cid:durableId="307176532">
    <w:abstractNumId w:val="2"/>
  </w:num>
  <w:num w:numId="8" w16cid:durableId="2021003312">
    <w:abstractNumId w:val="1"/>
  </w:num>
  <w:num w:numId="9" w16cid:durableId="21371376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86C17"/>
    <w:rsid w:val="00095F59"/>
    <w:rsid w:val="0015074B"/>
    <w:rsid w:val="0029639D"/>
    <w:rsid w:val="00326F90"/>
    <w:rsid w:val="003472D1"/>
    <w:rsid w:val="00596CBF"/>
    <w:rsid w:val="007B4268"/>
    <w:rsid w:val="00964EE2"/>
    <w:rsid w:val="00A06C39"/>
    <w:rsid w:val="00A9312D"/>
    <w:rsid w:val="00AA1D8D"/>
    <w:rsid w:val="00B47730"/>
    <w:rsid w:val="00B64319"/>
    <w:rsid w:val="00CB0664"/>
    <w:rsid w:val="00D57DA4"/>
    <w:rsid w:val="00F8080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B57DA94"/>
  <w14:defaultImageDpi w14:val="300"/>
  <w15:docId w15:val="{F0DAA352-5D9B-41C8-BD9A-D5F8A97551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color w:val="11111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TotalTime>
  <Pages>1</Pages>
  <Words>1208</Words>
  <Characters>6888</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8080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Jake Edwards</cp:lastModifiedBy>
  <cp:revision>10</cp:revision>
  <cp:lastPrinted>2026-07-07T16:23:00Z</cp:lastPrinted>
  <dcterms:created xsi:type="dcterms:W3CDTF">2013-12-23T23:15:00Z</dcterms:created>
  <dcterms:modified xsi:type="dcterms:W3CDTF">2026-07-07T16:24:00Z</dcterms:modified>
  <cp:category/>
</cp:coreProperties>
</file>