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PRP-GHP-01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1.0 – Personnel Hygiene and Mandatory Health Card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strict, standardized operational guidelines for personal hygiene, regulatory health screening, and behavioral compliance of all personnel. This manual completely eliminates biological, chemical, and physical hazards introduced by food handlers—specifically preventing enteric viral (Norovirus) and bacterial (Staphylococcus aureus, Salmonella spp.) cross-contamination during ready-to-eat (RTE) sushi, maki, and sashimi preparation. This policy ensures absolute compliance with Republic Act No. 10611 (The Food Safety Act of 2013) and Presidential Decree No. 856 (Code on Sanitation of the Philippines) to prevent local LGU health sanctions and operational closures.</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universally to all individuals operating within the food and beverage establishment footprint of Suteki Japanese Restaurant, SM Dasmariñas, Cavite. This includes full-time sushi chefs, line cooks, maki prep handlers, kitchen utility stewards, front-of-house cashiers, servers, shift supervisors, store management representatives, and any external service contractors entering food and beverage production zones.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Food Safety Compliance Officer (FSCO): </w:t>
      </w:r>
      <w:r>
        <w:rPr>
          <w:rFonts w:ascii="Times New Roman" w:hAnsi="Times New Roman"/>
          <w:sz w:val="19"/>
        </w:rPr>
        <w:t>The certified professional tasked with overseeing, auditing, and enforcing the food safety management programs of the food business in accordance with RA 10611.</w:t>
      </w:r>
    </w:p>
    <w:p>
      <w:pPr>
        <w:spacing w:after="30"/>
        <w:ind w:left="360"/>
      </w:pPr>
      <w:r>
        <w:rPr>
          <w:rFonts w:ascii="Times New Roman" w:hAnsi="Times New Roman"/>
          <w:b/>
        </w:rPr>
        <w:t xml:space="preserve">• </w:t>
      </w:r>
      <w:r>
        <w:rPr>
          <w:rFonts w:ascii="Times New Roman" w:hAnsi="Times New Roman"/>
          <w:b/>
          <w:sz w:val="19"/>
        </w:rPr>
        <w:t xml:space="preserve">Food Handler: </w:t>
      </w:r>
      <w:r>
        <w:rPr>
          <w:rFonts w:ascii="Times New Roman" w:hAnsi="Times New Roman"/>
          <w:sz w:val="19"/>
        </w:rPr>
        <w:t>Any individual who directly manipulates food, raw ingredients (such as sushi-grade salmon/tuna), clean smallwares, equipment surfaces, or food-contact packaging materials.</w:t>
      </w:r>
    </w:p>
    <w:p>
      <w:pPr>
        <w:spacing w:after="30"/>
        <w:ind w:left="360"/>
      </w:pPr>
      <w:r>
        <w:rPr>
          <w:rFonts w:ascii="Times New Roman" w:hAnsi="Times New Roman"/>
          <w:b/>
        </w:rPr>
        <w:t xml:space="preserve">• </w:t>
      </w:r>
      <w:r>
        <w:rPr>
          <w:rFonts w:ascii="Times New Roman" w:hAnsi="Times New Roman"/>
          <w:b/>
          <w:sz w:val="19"/>
        </w:rPr>
        <w:t xml:space="preserve">Ready-to-Eat (RTE) Food: </w:t>
      </w:r>
      <w:r>
        <w:rPr>
          <w:rFonts w:ascii="Times New Roman" w:hAnsi="Times New Roman"/>
          <w:sz w:val="19"/>
        </w:rPr>
        <w:t>Food that is in an edible form without additional washing, cooking, or thermal processing (e.g., sashimi, nigiri, rolled maki, acidified sushi rice, garnishes).</w:t>
      </w:r>
    </w:p>
    <w:p>
      <w:pPr>
        <w:spacing w:after="30"/>
        <w:ind w:left="360"/>
      </w:pPr>
      <w:r>
        <w:rPr>
          <w:rFonts w:ascii="Times New Roman" w:hAnsi="Times New Roman"/>
          <w:b/>
        </w:rPr>
        <w:t xml:space="preserve">• </w:t>
      </w:r>
      <w:r>
        <w:rPr>
          <w:rFonts w:ascii="Times New Roman" w:hAnsi="Times New Roman"/>
          <w:b/>
          <w:sz w:val="19"/>
        </w:rPr>
        <w:t xml:space="preserve">Communicable Disease: </w:t>
      </w:r>
      <w:r>
        <w:rPr>
          <w:rFonts w:ascii="Times New Roman" w:hAnsi="Times New Roman"/>
          <w:sz w:val="19"/>
        </w:rPr>
        <w:t>An infectious illness capable of being transmitted from person to person via oral-fecal routes, respiratory droplets, or direct contact (e.g., Norovirus, Hepatitis A, Shigella, Salmonella).</w:t>
      </w:r>
    </w:p>
    <w:p>
      <w:pPr>
        <w:spacing w:after="30"/>
        <w:ind w:left="360"/>
      </w:pPr>
      <w:r>
        <w:rPr>
          <w:rFonts w:ascii="Times New Roman" w:hAnsi="Times New Roman"/>
          <w:b/>
        </w:rPr>
        <w:t xml:space="preserve">• </w:t>
      </w:r>
      <w:r>
        <w:rPr>
          <w:rFonts w:ascii="Times New Roman" w:hAnsi="Times New Roman"/>
          <w:b/>
          <w:sz w:val="19"/>
        </w:rPr>
        <w:t xml:space="preserve">Exclusion: </w:t>
      </w:r>
      <w:r>
        <w:rPr>
          <w:rFonts w:ascii="Times New Roman" w:hAnsi="Times New Roman"/>
          <w:sz w:val="19"/>
        </w:rPr>
        <w:t>A mandatory regulatory directive prohibiting an employee from entering any portion of the food establishment or performing any work duties due to active symptoms of communicable illness.</w:t>
      </w:r>
    </w:p>
    <w:p>
      <w:pPr>
        <w:spacing w:after="30"/>
        <w:ind w:left="360"/>
      </w:pPr>
      <w:r>
        <w:rPr>
          <w:rFonts w:ascii="Times New Roman" w:hAnsi="Times New Roman"/>
          <w:b/>
        </w:rPr>
        <w:t xml:space="preserve">• </w:t>
      </w:r>
      <w:r>
        <w:rPr>
          <w:rFonts w:ascii="Times New Roman" w:hAnsi="Times New Roman"/>
          <w:b/>
          <w:sz w:val="19"/>
        </w:rPr>
        <w:t xml:space="preserve">Restriction: </w:t>
      </w:r>
      <w:r>
        <w:rPr>
          <w:rFonts w:ascii="Times New Roman" w:hAnsi="Times New Roman"/>
          <w:sz w:val="19"/>
        </w:rPr>
        <w:t>Limiting a worker's duties to non-food contact areas (e.g., administrative tasks or dry storage organizing) due to potential non-critical health factors.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Food Handlers / Kitchen Staff: </w:t>
      </w:r>
      <w:r>
        <w:rPr>
          <w:rFonts w:ascii="Times New Roman" w:hAnsi="Times New Roman"/>
          <w:sz w:val="19"/>
        </w:rPr>
        <w:t>Responsible for strictly maintaining personal grooming codes, executing valid handwashing and glove-changing sequences, self-reporting any infectious symptoms, and maintaining a valid local health certificate.</w:t>
      </w:r>
    </w:p>
    <w:p>
      <w:pPr>
        <w:spacing w:after="30"/>
        <w:ind w:left="360"/>
      </w:pPr>
      <w:r>
        <w:rPr>
          <w:rFonts w:ascii="Times New Roman" w:hAnsi="Times New Roman"/>
          <w:b/>
        </w:rPr>
        <w:t xml:space="preserve">• </w:t>
      </w:r>
      <w:r>
        <w:rPr>
          <w:rFonts w:ascii="Times New Roman" w:hAnsi="Times New Roman"/>
          <w:b/>
          <w:sz w:val="19"/>
        </w:rPr>
        <w:t xml:space="preserve">Shift Manager / Supervisor: </w:t>
      </w:r>
      <w:r>
        <w:rPr>
          <w:rFonts w:ascii="Times New Roman" w:hAnsi="Times New Roman"/>
          <w:sz w:val="19"/>
        </w:rPr>
        <w:t>Responsible for executing daily pre-shift visual screening drills, verifying hand hygiene station resource levels (soap/towels/70% alcohol) prior to opening, actively enforcing exclusion rules, and signing off on daily compliance records.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conducting unannounced risk-based monthly surveillance audits, reviewing and signing off on daily health logs, managing regulatory LGU documentation, and facilitating behavioral food safety training.</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Mandatory LGU Health Certificate Clearance</w:t>
      </w:r>
    </w:p>
    <w:p>
      <w:pPr>
        <w:spacing w:after="30"/>
        <w:ind w:left="288"/>
      </w:pPr>
      <w:r>
        <w:rPr>
          <w:rFonts w:ascii="Times New Roman" w:hAnsi="Times New Roman"/>
          <w:b/>
        </w:rPr>
        <w:t xml:space="preserve">1. </w:t>
      </w:r>
      <w:r>
        <w:rPr>
          <w:rFonts w:ascii="Times New Roman" w:hAnsi="Times New Roman"/>
          <w:sz w:val="19"/>
        </w:rPr>
        <w:t>No employee is permitted to perform duties within the establishment without possessing a valid, active Health Certificate ID card issued by the City Health Office of Dasmariñas, Cavite (or relevant LGU).</w:t>
      </w:r>
    </w:p>
    <w:p>
      <w:pPr>
        <w:spacing w:after="30"/>
        <w:ind w:left="288"/>
      </w:pPr>
      <w:r>
        <w:rPr>
          <w:rFonts w:ascii="Times New Roman" w:hAnsi="Times New Roman"/>
          <w:b/>
        </w:rPr>
        <w:t xml:space="preserve">2. </w:t>
      </w:r>
      <w:r>
        <w:rPr>
          <w:rFonts w:ascii="Times New Roman" w:hAnsi="Times New Roman"/>
          <w:sz w:val="19"/>
        </w:rPr>
        <w:t>To clear compliance, every employee must submit to mandatory annual medical testing, including a Chest X-ray, Fecalysis (stool exam for parasites and enteric pathogens), Urinalysis, and Drug Test.</w:t>
      </w:r>
    </w:p>
    <w:p>
      <w:pPr>
        <w:spacing w:after="30"/>
        <w:ind w:left="288"/>
      </w:pPr>
      <w:r>
        <w:rPr>
          <w:rFonts w:ascii="Times New Roman" w:hAnsi="Times New Roman"/>
          <w:b/>
        </w:rPr>
        <w:t xml:space="preserve">3. </w:t>
      </w:r>
      <w:r>
        <w:rPr>
          <w:rFonts w:ascii="Times New Roman" w:hAnsi="Times New Roman"/>
          <w:sz w:val="19"/>
        </w:rPr>
        <w:t>All personnel must completely attend the mandatory local health and sanitation briefing seminars conducted by the City Health Office.</w:t>
      </w:r>
    </w:p>
    <w:p>
      <w:pPr>
        <w:spacing w:after="30"/>
        <w:ind w:left="288"/>
      </w:pPr>
      <w:r>
        <w:rPr>
          <w:rFonts w:ascii="Times New Roman" w:hAnsi="Times New Roman"/>
          <w:b/>
        </w:rPr>
        <w:t xml:space="preserve">4. </w:t>
      </w:r>
      <w:r>
        <w:rPr>
          <w:rFonts w:ascii="Times New Roman" w:hAnsi="Times New Roman"/>
          <w:sz w:val="19"/>
        </w:rPr>
        <w:t>Original receipts, test results, and clinic validation documentation must be compiled in the on-site compliance binder for immediate inspection by LGU Sanitary Inspectors and the FSCO.</w:t>
      </w:r>
    </w:p>
    <w:p>
      <w:pPr>
        <w:spacing w:before="80" w:after="40"/>
      </w:pPr>
      <w:r>
        <w:rPr>
          <w:rFonts w:ascii="Times New Roman" w:hAnsi="Times New Roman"/>
          <w:b/>
          <w:sz w:val="20"/>
        </w:rPr>
        <w:t>5.2 Pre-Shift Hygiene Verification &amp; Handwashing Sequence</w:t>
      </w:r>
    </w:p>
    <w:p>
      <w:pPr>
        <w:spacing w:after="30"/>
        <w:ind w:left="288"/>
      </w:pPr>
      <w:r>
        <w:rPr>
          <w:rFonts w:ascii="Times New Roman" w:hAnsi="Times New Roman"/>
          <w:b/>
        </w:rPr>
        <w:t xml:space="preserve">1. </w:t>
      </w:r>
      <w:r>
        <w:rPr>
          <w:rFonts w:ascii="Times New Roman" w:hAnsi="Times New Roman"/>
          <w:sz w:val="19"/>
        </w:rPr>
        <w:t>Before starting work shifts or entering food preparation lines, all staff must undergo a mandatory visual hygiene check and verbal wellness screening by the Shift Supervisor.</w:t>
      </w:r>
    </w:p>
    <w:p>
      <w:pPr>
        <w:spacing w:after="30"/>
        <w:ind w:left="288"/>
      </w:pPr>
      <w:r>
        <w:rPr>
          <w:rFonts w:ascii="Times New Roman" w:hAnsi="Times New Roman"/>
          <w:b/>
        </w:rPr>
        <w:t xml:space="preserve">2. </w:t>
      </w:r>
      <w:r>
        <w:rPr>
          <w:rFonts w:ascii="Times New Roman" w:hAnsi="Times New Roman"/>
          <w:sz w:val="19"/>
        </w:rPr>
        <w:t>Handwashing must be performed at dedicated, unobstructed hand hygiene stations equipped with continuous potable running water, antibacterial liquid soap, single-use paper towels, and touchless 70% ethyl alcohol rub.</w:t>
      </w:r>
    </w:p>
    <w:p>
      <w:pPr>
        <w:spacing w:after="30"/>
        <w:ind w:left="288"/>
      </w:pPr>
      <w:r>
        <w:rPr>
          <w:rFonts w:ascii="Times New Roman" w:hAnsi="Times New Roman"/>
          <w:b/>
        </w:rPr>
        <w:t xml:space="preserve">3. </w:t>
      </w:r>
      <w:r>
        <w:rPr>
          <w:rFonts w:ascii="Times New Roman" w:hAnsi="Times New Roman"/>
          <w:sz w:val="19"/>
        </w:rPr>
        <w:t>Handwashing friction must be executed for a minimum of 20 seconds, ensuring complete lather coverage across palms, interdigital spaces (between fingers), thumbs, fingernails, backs of hands, and wrists up to the forearms.</w:t>
      </w:r>
    </w:p>
    <w:p>
      <w:pPr>
        <w:spacing w:after="30"/>
        <w:ind w:left="288"/>
      </w:pPr>
      <w:r>
        <w:rPr>
          <w:rFonts w:ascii="Times New Roman" w:hAnsi="Times New Roman"/>
          <w:b/>
        </w:rPr>
        <w:t xml:space="preserve">4. </w:t>
      </w:r>
      <w:r>
        <w:rPr>
          <w:rFonts w:ascii="Times New Roman" w:hAnsi="Times New Roman"/>
          <w:sz w:val="19"/>
        </w:rPr>
        <w:t>Rinse thoroughly under clean running water, dry hands completely using a single-use paper towel, and use the paper towel to turn off the faucet.</w:t>
      </w:r>
    </w:p>
    <w:p>
      <w:pPr>
        <w:spacing w:after="30"/>
        <w:ind w:left="288"/>
      </w:pPr>
      <w:r>
        <w:rPr>
          <w:rFonts w:ascii="Times New Roman" w:hAnsi="Times New Roman"/>
          <w:b/>
        </w:rPr>
        <w:t xml:space="preserve">5. </w:t>
      </w:r>
      <w:r>
        <w:rPr>
          <w:rFonts w:ascii="Times New Roman" w:hAnsi="Times New Roman"/>
          <w:sz w:val="19"/>
        </w:rPr>
        <w:t>Apply 70% ethyl alcohol hand sanitizer and allow to air dry completely before donning food-grade disposable gloves.</w:t>
      </w:r>
    </w:p>
    <w:p>
      <w:pPr>
        <w:spacing w:after="30"/>
        <w:ind w:left="288"/>
      </w:pPr>
      <w:r>
        <w:rPr>
          <w:rFonts w:ascii="Times New Roman" w:hAnsi="Times New Roman"/>
          <w:b/>
        </w:rPr>
        <w:t xml:space="preserve">6. </w:t>
      </w:r>
      <w:r>
        <w:rPr>
          <w:rFonts w:ascii="Times New Roman" w:hAnsi="Times New Roman"/>
          <w:sz w:val="19"/>
        </w:rPr>
        <w:t>This complete sequence must be executed: (a) at every task transition, (b) after using the restroom, (c) after taking outdoor breaks, (d) after handling raw poultry/meat/fish boxes, (e) after handling trash/soiled dishes, or (f) after touching face, hair, apron, or cellphones.</w:t>
      </w:r>
    </w:p>
    <w:p>
      <w:pPr>
        <w:spacing w:before="80" w:after="40"/>
      </w:pPr>
      <w:r>
        <w:rPr>
          <w:rFonts w:ascii="Times New Roman" w:hAnsi="Times New Roman"/>
          <w:b/>
          <w:sz w:val="20"/>
        </w:rPr>
        <w:t>5.3 Grooming, Uniform &amp; Wound Protocol for Kitchen &amp; Dining Operations</w:t>
      </w:r>
    </w:p>
    <w:p>
      <w:pPr>
        <w:spacing w:after="30"/>
        <w:ind w:left="288"/>
      </w:pPr>
      <w:r>
        <w:rPr>
          <w:rFonts w:ascii="Times New Roman" w:hAnsi="Times New Roman"/>
          <w:b/>
        </w:rPr>
        <w:t xml:space="preserve">1. </w:t>
      </w:r>
      <w:r>
        <w:rPr>
          <w:rFonts w:ascii="Times New Roman" w:hAnsi="Times New Roman"/>
          <w:sz w:val="19"/>
        </w:rPr>
        <w:t>All personnel must wear clean, branch-designated uniforms donned on-site within changing areas; street clothes are prohibited in prep zones.</w:t>
      </w:r>
    </w:p>
    <w:p>
      <w:pPr>
        <w:spacing w:after="30"/>
        <w:ind w:left="288"/>
      </w:pPr>
      <w:r>
        <w:rPr>
          <w:rFonts w:ascii="Times New Roman" w:hAnsi="Times New Roman"/>
          <w:b/>
        </w:rPr>
        <w:t xml:space="preserve">2. </w:t>
      </w:r>
      <w:r>
        <w:rPr>
          <w:rFonts w:ascii="Times New Roman" w:hAnsi="Times New Roman"/>
          <w:sz w:val="19"/>
        </w:rPr>
        <w:t>Sushi chefs, line cooks, and prep staff must wear clean hairnets or chef caps enclosing scalp hair completely. Staff with facial hair exceeding 1/4 inch must wear beard snoods.</w:t>
      </w:r>
    </w:p>
    <w:p>
      <w:pPr>
        <w:spacing w:after="30"/>
        <w:ind w:left="288"/>
      </w:pPr>
      <w:r>
        <w:rPr>
          <w:rFonts w:ascii="Times New Roman" w:hAnsi="Times New Roman"/>
          <w:b/>
        </w:rPr>
        <w:t xml:space="preserve">3. </w:t>
      </w:r>
      <w:r>
        <w:rPr>
          <w:rFonts w:ascii="Times New Roman" w:hAnsi="Times New Roman"/>
          <w:sz w:val="19"/>
        </w:rPr>
        <w:t>Fingernails must be kept trimmed short (&lt; 1/8 inch), clean, and free of any nail polish, overlays, artificial extensions, or decals.</w:t>
      </w:r>
    </w:p>
    <w:p>
      <w:pPr>
        <w:spacing w:after="30"/>
        <w:ind w:left="288"/>
      </w:pPr>
      <w:r>
        <w:rPr>
          <w:rFonts w:ascii="Times New Roman" w:hAnsi="Times New Roman"/>
          <w:b/>
        </w:rPr>
        <w:t xml:space="preserve">4. </w:t>
      </w:r>
      <w:r>
        <w:rPr>
          <w:rFonts w:ascii="Times New Roman" w:hAnsi="Times New Roman"/>
          <w:sz w:val="19"/>
        </w:rPr>
        <w:t>Wearing jewelry, wristwatches, bracelets, or exposed piercings is strictly prohibited within the kitchen and server zones; a single smooth, plain wedding band is the sole exception.</w:t>
      </w:r>
    </w:p>
    <w:p>
      <w:pPr>
        <w:spacing w:after="30"/>
        <w:ind w:left="288"/>
      </w:pPr>
      <w:r>
        <w:rPr>
          <w:rFonts w:ascii="Times New Roman" w:hAnsi="Times New Roman"/>
          <w:b/>
        </w:rPr>
        <w:t xml:space="preserve">5. </w:t>
      </w:r>
      <w:r>
        <w:rPr>
          <w:rFonts w:ascii="Times New Roman" w:hAnsi="Times New Roman"/>
          <w:sz w:val="19"/>
        </w:rPr>
        <w:t>Protective work aprons must be removed completely before entering the restroom or stepping outside the facility footprint.</w:t>
      </w:r>
    </w:p>
    <w:p>
      <w:pPr>
        <w:spacing w:after="30"/>
        <w:ind w:left="288"/>
      </w:pPr>
      <w:r>
        <w:rPr>
          <w:rFonts w:ascii="Times New Roman" w:hAnsi="Times New Roman"/>
          <w:b/>
        </w:rPr>
        <w:t xml:space="preserve">6. </w:t>
      </w:r>
      <w:r>
        <w:rPr>
          <w:rFonts w:ascii="Times New Roman" w:hAnsi="Times New Roman"/>
          <w:sz w:val="19"/>
        </w:rPr>
        <w:t>Any minor cut, scrape, burn, or open lesion on hands or forearms must be immediately treated, covered with a high-visibility waterproof blue detectable bandage, AND covered with a single-use food-grade glove before returning to work.</w:t>
      </w:r>
    </w:p>
    <w:p>
      <w:pPr>
        <w:spacing w:before="80" w:after="40"/>
      </w:pPr>
      <w:r>
        <w:rPr>
          <w:rFonts w:ascii="Times New Roman" w:hAnsi="Times New Roman"/>
          <w:b/>
          <w:sz w:val="20"/>
        </w:rPr>
        <w:t>5.4 High-Risk Sushi Bar &amp; Ready-to-Eat (RTE) Food Station Protocol</w:t>
      </w:r>
    </w:p>
    <w:p>
      <w:pPr>
        <w:spacing w:after="30"/>
        <w:ind w:left="288"/>
      </w:pPr>
      <w:r>
        <w:rPr>
          <w:rFonts w:ascii="Times New Roman" w:hAnsi="Times New Roman"/>
          <w:b/>
        </w:rPr>
        <w:t xml:space="preserve">1. </w:t>
      </w:r>
      <w:r>
        <w:rPr>
          <w:rFonts w:ascii="Times New Roman" w:hAnsi="Times New Roman"/>
          <w:sz w:val="19"/>
        </w:rPr>
        <w:t>ABSOLUTELY ZERO bare-hand contact is permitted with Ready-to-Eat (RTE) foods (sashimi slices, nigiri, sushi rice, maki fillings, tamagoyaki, salads, or cooked ramen toppings).</w:t>
      </w:r>
    </w:p>
    <w:p>
      <w:pPr>
        <w:spacing w:after="30"/>
        <w:ind w:left="288"/>
      </w:pPr>
      <w:r>
        <w:rPr>
          <w:rFonts w:ascii="Times New Roman" w:hAnsi="Times New Roman"/>
          <w:b/>
        </w:rPr>
        <w:t xml:space="preserve">2. </w:t>
      </w:r>
      <w:r>
        <w:rPr>
          <w:rFonts w:ascii="Times New Roman" w:hAnsi="Times New Roman"/>
          <w:sz w:val="19"/>
        </w:rPr>
        <w:t>Personnel assembling sushi rolls (Maki), portioning sashimi, or plating salads must utilize clean tongs, deli paper, or fresh disposable food-grade gloves.</w:t>
      </w:r>
    </w:p>
    <w:p>
      <w:pPr>
        <w:spacing w:after="30"/>
        <w:ind w:left="288"/>
      </w:pPr>
      <w:r>
        <w:rPr>
          <w:rFonts w:ascii="Times New Roman" w:hAnsi="Times New Roman"/>
          <w:b/>
        </w:rPr>
        <w:t xml:space="preserve">3. </w:t>
      </w:r>
      <w:r>
        <w:rPr>
          <w:rFonts w:ascii="Times New Roman" w:hAnsi="Times New Roman"/>
          <w:sz w:val="19"/>
        </w:rPr>
        <w:t>Disposable gloves must be discarded, hands re-washed for 20 seconds, and fresh gloves donned: (a) at least once every 60 minutes during continuous use, (b) whenever torn or soiled, or (c) immediately when transitioning from raw protein handling to RTE sushi staging.</w:t>
      </w:r>
    </w:p>
    <w:p>
      <w:pPr>
        <w:spacing w:after="30"/>
        <w:ind w:left="288"/>
      </w:pPr>
      <w:r>
        <w:rPr>
          <w:rFonts w:ascii="Times New Roman" w:hAnsi="Times New Roman"/>
          <w:b/>
        </w:rPr>
        <w:t xml:space="preserve">4. </w:t>
      </w:r>
      <w:r>
        <w:rPr>
          <w:rFonts w:ascii="Times New Roman" w:hAnsi="Times New Roman"/>
          <w:sz w:val="19"/>
        </w:rPr>
        <w:t>Dedicated sanitizer wiping cloths for sushi prep boards must remain submerged in verified sanitizer solution (Chlorine 50–100 ppm / Quat 200 ppm) when not in active use.</w:t>
      </w:r>
    </w:p>
    <w:p>
      <w:pPr>
        <w:spacing w:after="30"/>
        <w:ind w:left="288"/>
      </w:pPr>
      <w:r>
        <w:rPr>
          <w:rFonts w:ascii="Times New Roman" w:hAnsi="Times New Roman"/>
          <w:b/>
        </w:rPr>
        <w:t xml:space="preserve">5. </w:t>
      </w:r>
      <w:r>
        <w:rPr>
          <w:rFonts w:ascii="Times New Roman" w:hAnsi="Times New Roman"/>
          <w:sz w:val="19"/>
        </w:rPr>
        <w:t>Staff are strictly prohibited from manipulating the sushi line, rolling mats (makisu), or knife handles without undergoing a verified hand sanitization sequence directly prior to operation.</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The Shift Manager-on-duty must physically conduct a visual screening and verbal wellness check of 100% of the incoming staff prior to the start of every shift (AM and PM).</w:t>
      </w:r>
    </w:p>
    <w:p>
      <w:pPr>
        <w:spacing w:after="30"/>
        <w:ind w:left="288"/>
      </w:pPr>
      <w:r>
        <w:rPr>
          <w:rFonts w:ascii="Times New Roman" w:hAnsi="Times New Roman"/>
          <w:b/>
        </w:rPr>
        <w:t xml:space="preserve">2. </w:t>
      </w:r>
      <w:r>
        <w:rPr>
          <w:rFonts w:ascii="Times New Roman" w:hAnsi="Times New Roman"/>
          <w:sz w:val="19"/>
        </w:rPr>
        <w:t>All pre-shift screening findings, uniform checks, and health marks must be documented immediately in form LOG-GHP-01.</w:t>
      </w:r>
    </w:p>
    <w:p>
      <w:pPr>
        <w:spacing w:after="30"/>
        <w:ind w:left="288"/>
      </w:pPr>
      <w:r>
        <w:rPr>
          <w:rFonts w:ascii="Times New Roman" w:hAnsi="Times New Roman"/>
          <w:b/>
        </w:rPr>
        <w:t xml:space="preserve">3. </w:t>
      </w:r>
      <w:r>
        <w:rPr>
          <w:rFonts w:ascii="Times New Roman" w:hAnsi="Times New Roman"/>
          <w:sz w:val="19"/>
        </w:rPr>
        <w:t>The manager must physically verify twice daily (AM opening and PM closing) that handwashing supplies (soap, paper towels, 70% alcohol rub) are fully stocked.</w:t>
      </w:r>
    </w:p>
    <w:p>
      <w:pPr>
        <w:spacing w:after="30"/>
        <w:ind w:left="288"/>
      </w:pPr>
      <w:r>
        <w:rPr>
          <w:rFonts w:ascii="Times New Roman" w:hAnsi="Times New Roman"/>
          <w:b/>
        </w:rPr>
        <w:t xml:space="preserve">4. </w:t>
      </w:r>
      <w:r>
        <w:rPr>
          <w:rFonts w:ascii="Times New Roman" w:hAnsi="Times New Roman"/>
          <w:sz w:val="19"/>
        </w:rPr>
        <w:t>The Lead FSCO will conduct random, unannounced monthly surveillance audits to observe staff behavioral compliance, glove-change intervals on the sushi line, and inspect on-site logs.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Non-Compliant Grooming / Uniform: </w:t>
      </w:r>
      <w:r>
        <w:rPr>
          <w:rFonts w:ascii="Times New Roman" w:hAnsi="Times New Roman"/>
          <w:sz w:val="19"/>
        </w:rPr>
        <w:t>The employee must immediately correct the issue (e.g., trim nails, remove jewelry, don hairnet/beard snood, change uniform) prior to entering any food production area.</w:t>
      </w:r>
    </w:p>
    <w:p>
      <w:pPr>
        <w:spacing w:after="30"/>
        <w:ind w:left="360"/>
      </w:pPr>
      <w:r>
        <w:rPr>
          <w:rFonts w:ascii="Times New Roman" w:hAnsi="Times New Roman"/>
          <w:b/>
        </w:rPr>
        <w:t xml:space="preserve">• </w:t>
      </w:r>
      <w:r>
        <w:rPr>
          <w:rFonts w:ascii="Times New Roman" w:hAnsi="Times New Roman"/>
          <w:b/>
          <w:sz w:val="19"/>
        </w:rPr>
        <w:t xml:space="preserve">Symptomatic Worker / Communicable Illness: </w:t>
      </w:r>
      <w:r>
        <w:rPr>
          <w:rFonts w:ascii="Times New Roman" w:hAnsi="Times New Roman"/>
          <w:sz w:val="19"/>
        </w:rPr>
        <w:t>If an employee presents with diarrhea, vomiting, fever, sore throat, persistent coughing, or jaundice, the manager must immediately execute an Exclusion Order, log the deviation in LOG-DEV-01, and send the employee home. The worker cannot return to duty without an explicit medical clearance signed by a licensed physician.</w:t>
      </w:r>
    </w:p>
    <w:p>
      <w:pPr>
        <w:spacing w:after="30"/>
        <w:ind w:left="360"/>
      </w:pPr>
      <w:r>
        <w:rPr>
          <w:rFonts w:ascii="Times New Roman" w:hAnsi="Times New Roman"/>
          <w:b/>
        </w:rPr>
        <w:t xml:space="preserve">• </w:t>
      </w:r>
      <w:r>
        <w:rPr>
          <w:rFonts w:ascii="Times New Roman" w:hAnsi="Times New Roman"/>
          <w:b/>
          <w:sz w:val="19"/>
        </w:rPr>
        <w:t xml:space="preserve">Missing Health Card: </w:t>
      </w:r>
      <w:r>
        <w:rPr>
          <w:rFonts w:ascii="Times New Roman" w:hAnsi="Times New Roman"/>
          <w:sz w:val="19"/>
        </w:rPr>
        <w:t>Any staff member found working without a valid local health card or official proof of scheduled LGU clinic compliance must be suspended from food handling immediately until the correct documentation is filed in the compliance binder.</w:t>
      </w:r>
    </w:p>
    <w:p>
      <w:pPr>
        <w:spacing w:after="30"/>
        <w:ind w:left="360"/>
      </w:pPr>
      <w:r>
        <w:rPr>
          <w:rFonts w:ascii="Times New Roman" w:hAnsi="Times New Roman"/>
          <w:b/>
        </w:rPr>
        <w:t xml:space="preserve">• </w:t>
      </w:r>
      <w:r>
        <w:rPr>
          <w:rFonts w:ascii="Times New Roman" w:hAnsi="Times New Roman"/>
          <w:b/>
          <w:sz w:val="19"/>
        </w:rPr>
        <w:t xml:space="preserve">Bare-Hand Contact or Glove Failure on Sushi Line: </w:t>
      </w:r>
      <w:r>
        <w:rPr>
          <w:rFonts w:ascii="Times New Roman" w:hAnsi="Times New Roman"/>
          <w:sz w:val="19"/>
        </w:rPr>
        <w:t>Immediately condemn and discard any exposed RTE sushi or sashimi touched with bare hands or compromised gloves. Mandate immediate handwashing and fresh glove donning under direct supervisor observation.</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Review: </w:t>
      </w:r>
      <w:r>
        <w:rPr>
          <w:rFonts w:ascii="Times New Roman" w:hAnsi="Times New Roman"/>
          <w:sz w:val="19"/>
        </w:rPr>
        <w:t>The Lead FSCO will review, verify, and sign off on all completed LOG-GHP-01 sheets during monthly audits to check for data accuracy and verify that zero undocumented shifts occurred.</w:t>
      </w:r>
    </w:p>
    <w:p>
      <w:pPr>
        <w:spacing w:after="30"/>
        <w:ind w:left="360"/>
      </w:pPr>
      <w:r>
        <w:rPr>
          <w:rFonts w:ascii="Times New Roman" w:hAnsi="Times New Roman"/>
          <w:b/>
        </w:rPr>
        <w:t xml:space="preserve">• </w:t>
      </w:r>
      <w:r>
        <w:rPr>
          <w:rFonts w:ascii="Times New Roman" w:hAnsi="Times New Roman"/>
          <w:b/>
          <w:sz w:val="19"/>
        </w:rPr>
        <w:t xml:space="preserve">Registry Cross-Examination: </w:t>
      </w:r>
      <w:r>
        <w:rPr>
          <w:rFonts w:ascii="Times New Roman" w:hAnsi="Times New Roman"/>
          <w:sz w:val="19"/>
        </w:rPr>
        <w:t>The FSCO will cross-examine daily staff schedules against active health card registries once per month to guarantee that 100% of deployed staff are fully cleared by local regulatory bodies.</w:t>
      </w:r>
    </w:p>
    <w:p>
      <w:pPr>
        <w:spacing w:after="30"/>
        <w:ind w:left="360"/>
      </w:pPr>
      <w:r>
        <w:rPr>
          <w:rFonts w:ascii="Times New Roman" w:hAnsi="Times New Roman"/>
          <w:b/>
        </w:rPr>
        <w:t xml:space="preserve">• </w:t>
      </w:r>
      <w:r>
        <w:rPr>
          <w:rFonts w:ascii="Times New Roman" w:hAnsi="Times New Roman"/>
          <w:b/>
          <w:sz w:val="19"/>
        </w:rPr>
        <w:t xml:space="preserve">Microbial Hand Swabs (Optional / Periodic): </w:t>
      </w:r>
      <w:r>
        <w:rPr>
          <w:rFonts w:ascii="Times New Roman" w:hAnsi="Times New Roman"/>
          <w:sz w:val="19"/>
        </w:rPr>
        <w:t>Periodic swab testing of food handlers' gloved/bare hands may be conducted to verify the efficacy of the 20-second handwashing protocol.</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LOG-GHP-01: </w:t>
      </w:r>
      <w:r>
        <w:rPr>
          <w:rFonts w:ascii="Times New Roman" w:hAnsi="Times New Roman"/>
          <w:sz w:val="19"/>
        </w:rPr>
        <w:t>Daily Staff Wellness &amp; Hygiene Verification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LGU Health Registry: </w:t>
      </w:r>
      <w:r>
        <w:rPr>
          <w:rFonts w:ascii="Times New Roman" w:hAnsi="Times New Roman"/>
          <w:sz w:val="19"/>
        </w:rPr>
        <w:t>Compendium of individual staff health certificate photocopies, Chest X-ray, and laboratory medical clearances.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20"/>
        </w:rPr>
        <w:t>FORM LOG-GHP-01: DAILY STAFF WELLNESS &amp; HYGIENE VERIFICATION LOG</w:t>
      </w:r>
    </w:p>
    <w:p>
      <w:pPr>
        <w:spacing w:after="80"/>
      </w:pPr>
      <w:r>
        <w:rPr>
          <w:rFonts w:ascii="Times New Roman" w:hAnsi="Times New Roman"/>
          <w:b/>
          <w:sz w:val="18"/>
        </w:rPr>
        <w:t xml:space="preserve">Instructions: </w:t>
      </w:r>
      <w:r>
        <w:rPr>
          <w:rFonts w:ascii="Times New Roman" w:hAnsi="Times New Roman"/>
          <w:sz w:val="18"/>
        </w:rPr>
        <w:t>This form must be completed daily by the shift supervisor prior to shift commencement. Mark 'Pass' (P) or 'Fail' (F) for each employee. Any 'Fail' requires immediate corrective action recorded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96"/>
            <w:shd w:fill="1B365D"/>
            <w:tcMar>
              <w:top w:w="50" w:type="dxa"/>
              <w:bottom w:w="50" w:type="dxa"/>
              <w:left w:w="50" w:type="dxa"/>
              <w:right w:w="50" w:type="dxa"/>
            </w:tcMar>
          </w:tcPr>
          <w:p>
            <w:pPr>
              <w:spacing w:after="0"/>
              <w:jc w:val="center"/>
            </w:pPr>
            <w:r>
              <w:rPr>
                <w:rFonts w:ascii="Times New Roman" w:hAnsi="Times New Roman"/>
                <w:b/>
                <w:color w:val="FFFFFF"/>
                <w:sz w:val="16"/>
              </w:rPr>
              <w:t>Date</w:t>
            </w:r>
          </w:p>
        </w:tc>
        <w:tc>
          <w:tcPr>
            <w:tcW w:type="dxa" w:w="2592"/>
            <w:shd w:fill="1B365D"/>
            <w:tcMar>
              <w:top w:w="50" w:type="dxa"/>
              <w:bottom w:w="50" w:type="dxa"/>
              <w:left w:w="50" w:type="dxa"/>
              <w:right w:w="50" w:type="dxa"/>
            </w:tcMar>
          </w:tcPr>
          <w:p>
            <w:pPr>
              <w:spacing w:after="0"/>
              <w:jc w:val="center"/>
            </w:pPr>
            <w:r>
              <w:rPr>
                <w:rFonts w:ascii="Times New Roman" w:hAnsi="Times New Roman"/>
                <w:b/>
                <w:color w:val="FFFFFF"/>
                <w:sz w:val="16"/>
              </w:rPr>
              <w:t>Employee Name</w:t>
            </w:r>
          </w:p>
        </w:tc>
        <w:tc>
          <w:tcPr>
            <w:tcW w:type="dxa" w:w="1296"/>
            <w:shd w:fill="1B365D"/>
            <w:tcMar>
              <w:top w:w="50" w:type="dxa"/>
              <w:bottom w:w="50" w:type="dxa"/>
              <w:left w:w="50" w:type="dxa"/>
              <w:right w:w="50" w:type="dxa"/>
            </w:tcMar>
          </w:tcPr>
          <w:p>
            <w:pPr>
              <w:spacing w:after="0"/>
              <w:jc w:val="center"/>
            </w:pPr>
            <w:r>
              <w:rPr>
                <w:rFonts w:ascii="Times New Roman" w:hAnsi="Times New Roman"/>
                <w:b/>
                <w:color w:val="FFFFFF"/>
                <w:sz w:val="16"/>
              </w:rPr>
              <w:t>Health Card Valid?</w:t>
            </w:r>
          </w:p>
        </w:tc>
        <w:tc>
          <w:tcPr>
            <w:tcW w:type="dxa" w:w="1440"/>
            <w:shd w:fill="1B365D"/>
            <w:tcMar>
              <w:top w:w="50" w:type="dxa"/>
              <w:bottom w:w="50" w:type="dxa"/>
              <w:left w:w="50" w:type="dxa"/>
              <w:right w:w="50" w:type="dxa"/>
            </w:tcMar>
          </w:tcPr>
          <w:p>
            <w:pPr>
              <w:spacing w:after="0"/>
              <w:jc w:val="center"/>
            </w:pPr>
            <w:r>
              <w:rPr>
                <w:rFonts w:ascii="Times New Roman" w:hAnsi="Times New Roman"/>
                <w:b/>
                <w:color w:val="FFFFFF"/>
                <w:sz w:val="16"/>
              </w:rPr>
              <w:t>Uniform &amp; Hairnet?</w:t>
            </w:r>
          </w:p>
        </w:tc>
        <w:tc>
          <w:tcPr>
            <w:tcW w:type="dxa" w:w="1584"/>
            <w:shd w:fill="1B365D"/>
            <w:tcMar>
              <w:top w:w="50" w:type="dxa"/>
              <w:bottom w:w="50" w:type="dxa"/>
              <w:left w:w="50" w:type="dxa"/>
              <w:right w:w="50" w:type="dxa"/>
            </w:tcMar>
          </w:tcPr>
          <w:p>
            <w:pPr>
              <w:spacing w:after="0"/>
              <w:jc w:val="center"/>
            </w:pPr>
            <w:r>
              <w:rPr>
                <w:rFonts w:ascii="Times New Roman" w:hAnsi="Times New Roman"/>
                <w:b/>
                <w:color w:val="FFFFFF"/>
                <w:sz w:val="16"/>
              </w:rPr>
              <w:t>No Illness Symptoms?</w:t>
            </w:r>
          </w:p>
        </w:tc>
        <w:tc>
          <w:tcPr>
            <w:tcW w:type="dxa" w:w="1440"/>
            <w:shd w:fill="1B365D"/>
            <w:tcMar>
              <w:top w:w="50" w:type="dxa"/>
              <w:bottom w:w="50" w:type="dxa"/>
              <w:left w:w="50" w:type="dxa"/>
              <w:right w:w="50" w:type="dxa"/>
            </w:tcMar>
          </w:tcPr>
          <w:p>
            <w:pPr>
              <w:spacing w:after="0"/>
              <w:jc w:val="center"/>
            </w:pPr>
            <w:r>
              <w:rPr>
                <w:rFonts w:ascii="Times New Roman" w:hAnsi="Times New Roman"/>
                <w:b/>
                <w:color w:val="FFFFFF"/>
                <w:sz w:val="16"/>
              </w:rPr>
              <w:t>Nails / No Jewelry?</w:t>
            </w:r>
          </w:p>
        </w:tc>
        <w:tc>
          <w:tcPr>
            <w:tcW w:type="dxa" w:w="1296"/>
            <w:shd w:fill="1B365D"/>
            <w:tcMar>
              <w:top w:w="50" w:type="dxa"/>
              <w:bottom w:w="50" w:type="dxa"/>
              <w:left w:w="50" w:type="dxa"/>
              <w:right w:w="50" w:type="dxa"/>
            </w:tcMar>
          </w:tcPr>
          <w:p>
            <w:pPr>
              <w:spacing w:after="0"/>
              <w:jc w:val="center"/>
            </w:pPr>
            <w:r>
              <w:rPr>
                <w:rFonts w:ascii="Times New Roman" w:hAnsi="Times New Roman"/>
                <w:b/>
                <w:color w:val="FFFFFF"/>
                <w:sz w:val="16"/>
              </w:rPr>
              <w:t>Manager Sign-Off</w:t>
            </w: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r>
        <w:tc>
          <w:tcPr>
            <w:tcW w:type="dxa" w:w="1296"/>
            <w:shd w:fill="F9FAFB"/>
            <w:tcMar>
              <w:top w:w="35" w:type="dxa"/>
              <w:bottom w:w="35" w:type="dxa"/>
              <w:left w:w="50" w:type="dxa"/>
              <w:right w:w="50" w:type="dxa"/>
            </w:tcMar>
          </w:tcPr>
          <w:p>
            <w:pPr>
              <w:spacing w:after="0" w:before="0"/>
            </w:pPr>
          </w:p>
        </w:tc>
        <w:tc>
          <w:tcPr>
            <w:tcW w:type="dxa" w:w="2592"/>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584"/>
            <w:shd w:fill="F9FAFB"/>
            <w:tcMar>
              <w:top w:w="35" w:type="dxa"/>
              <w:bottom w:w="35" w:type="dxa"/>
              <w:left w:w="50" w:type="dxa"/>
              <w:right w:w="50" w:type="dxa"/>
            </w:tcMar>
          </w:tcPr>
          <w:p>
            <w:pPr>
              <w:spacing w:after="0" w:before="0"/>
            </w:pPr>
          </w:p>
        </w:tc>
        <w:tc>
          <w:tcPr>
            <w:tcW w:type="dxa" w:w="1440"/>
            <w:shd w:fill="F9FAFB"/>
            <w:tcMar>
              <w:top w:w="35" w:type="dxa"/>
              <w:bottom w:w="35" w:type="dxa"/>
              <w:left w:w="50" w:type="dxa"/>
              <w:right w:w="50" w:type="dxa"/>
            </w:tcMar>
          </w:tcPr>
          <w:p>
            <w:pPr>
              <w:spacing w:after="0" w:before="0"/>
            </w:pPr>
          </w:p>
        </w:tc>
        <w:tc>
          <w:tcPr>
            <w:tcW w:type="dxa" w:w="1296"/>
            <w:shd w:fill="F9FAFB"/>
            <w:tcMar>
              <w:top w:w="35" w:type="dxa"/>
              <w:bottom w:w="35" w:type="dxa"/>
              <w:left w:w="50" w:type="dxa"/>
              <w:right w:w="50" w:type="dxa"/>
            </w:tcMar>
          </w:tcPr>
          <w:p>
            <w:pPr>
              <w:spacing w:after="0" w:before="0"/>
            </w:pPr>
          </w:p>
        </w:tc>
      </w:tr>
      <w:tr>
        <w:tc>
          <w:tcPr>
            <w:tcW w:type="dxa" w:w="1296"/>
            <w:shd w:fill="FFFFFF"/>
            <w:tcMar>
              <w:top w:w="35" w:type="dxa"/>
              <w:bottom w:w="35" w:type="dxa"/>
              <w:left w:w="50" w:type="dxa"/>
              <w:right w:w="50" w:type="dxa"/>
            </w:tcMar>
          </w:tcPr>
          <w:p>
            <w:pPr>
              <w:spacing w:after="0" w:before="0"/>
            </w:pPr>
          </w:p>
        </w:tc>
        <w:tc>
          <w:tcPr>
            <w:tcW w:type="dxa" w:w="2592"/>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584"/>
            <w:shd w:fill="FFFFFF"/>
            <w:tcMar>
              <w:top w:w="35" w:type="dxa"/>
              <w:bottom w:w="35" w:type="dxa"/>
              <w:left w:w="50" w:type="dxa"/>
              <w:right w:w="50" w:type="dxa"/>
            </w:tcMar>
          </w:tcPr>
          <w:p>
            <w:pPr>
              <w:spacing w:after="0" w:before="0"/>
            </w:pPr>
          </w:p>
        </w:tc>
        <w:tc>
          <w:tcPr>
            <w:tcW w:type="dxa" w:w="1440"/>
            <w:shd w:fill="FFFFFF"/>
            <w:tcMar>
              <w:top w:w="35" w:type="dxa"/>
              <w:bottom w:w="35" w:type="dxa"/>
              <w:left w:w="50" w:type="dxa"/>
              <w:right w:w="50" w:type="dxa"/>
            </w:tcMar>
          </w:tcPr>
          <w:p>
            <w:pPr>
              <w:spacing w:after="0" w:before="0"/>
            </w:pPr>
          </w:p>
        </w:tc>
        <w:tc>
          <w:tcPr>
            <w:tcW w:type="dxa" w:w="1296"/>
            <w:shd w:fill="FFFFFF"/>
            <w:tcMar>
              <w:top w:w="35" w:type="dxa"/>
              <w:bottom w:w="35" w:type="dxa"/>
              <w:left w:w="50" w:type="dxa"/>
              <w:right w:w="5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