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Prerequisite Program (PRP)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PRP-IPM-01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PRP 4.0 – Integrated Pest Management (IPM), Structural Exclusion &amp; Refuse Control Policy</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procedure is to establish a proactive, non-hazardous Integrated Pest Management (IPM), structural exclusion, and solid waste sanitation program across the facility. Pests—specifically German cockroaches (Blattella germanica), houseflies (Musca domestica), fruit/drain flies (Drosophila spp.), and rodents (Mus musculus / Rattus norvegicus)—act as biological vectors carrying Salmonella, Shigella, E. coli, and parasitic ova into food preparation zones. This manual establishes strict operational controls to eliminate structural pest entry pathways, eradicate pest harborages (such as unhygienic cardboard and unsealed motor compartments), enforce covered refuse management, and mandate professional pest control servicing, ensuring 100% compliance with Republic Act No. 10611 (Food Safety Act of 2013), Presidential Decree No. 856 (Code on Sanitation of the Philippines), and SM Mall Tenant EHS Guidelines.</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Prerequisite Program (PRP) applies universally to all Back-of-House (BOH) and Front-of-House (FOH) operational footprints at Suteki Japanese Restaurant, SM Dasmariñas, Cavite. This includes the sushi/maki preparation counter, hot kitchen fryer and cooking line, 2-compartment dishwashing pit, grease trap enclosure, dry storage room, under-counter chiller compressor compartments, dining area, front cashier station, and external service hallway waste transfer routes.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Integrated Pest Management (IPM): </w:t>
      </w:r>
      <w:r>
        <w:rPr>
          <w:rFonts w:ascii="Times New Roman" w:hAnsi="Times New Roman"/>
          <w:sz w:val="19"/>
        </w:rPr>
        <w:t>A comprehensive, multi-barrier system that prioritizes sanitation, structural exclusion, mechanical trapping, and environmental management over chemical pesticides to prevent and eliminate pest populations.</w:t>
      </w:r>
    </w:p>
    <w:p>
      <w:pPr>
        <w:spacing w:after="30"/>
        <w:ind w:left="360"/>
      </w:pPr>
      <w:r>
        <w:rPr>
          <w:rFonts w:ascii="Times New Roman" w:hAnsi="Times New Roman"/>
          <w:b/>
        </w:rPr>
        <w:t xml:space="preserve">• </w:t>
      </w:r>
      <w:r>
        <w:rPr>
          <w:rFonts w:ascii="Times New Roman" w:hAnsi="Times New Roman"/>
          <w:b/>
          <w:sz w:val="19"/>
        </w:rPr>
        <w:t xml:space="preserve">Structural Exclusion: </w:t>
      </w:r>
      <w:r>
        <w:rPr>
          <w:rFonts w:ascii="Times New Roman" w:hAnsi="Times New Roman"/>
          <w:sz w:val="19"/>
        </w:rPr>
        <w:t>The continuous engineering practice of sealing, screening, and barricading all physical building perimeter openings (&gt; 1/4 inch / 6 mm) to physically deny pests entry into the facility.</w:t>
      </w:r>
    </w:p>
    <w:p>
      <w:pPr>
        <w:spacing w:after="30"/>
        <w:ind w:left="360"/>
      </w:pPr>
      <w:r>
        <w:rPr>
          <w:rFonts w:ascii="Times New Roman" w:hAnsi="Times New Roman"/>
          <w:b/>
        </w:rPr>
        <w:t xml:space="preserve">• </w:t>
      </w:r>
      <w:r>
        <w:rPr>
          <w:rFonts w:ascii="Times New Roman" w:hAnsi="Times New Roman"/>
          <w:b/>
          <w:sz w:val="19"/>
        </w:rPr>
        <w:t xml:space="preserve">Pest Harborage: </w:t>
      </w:r>
      <w:r>
        <w:rPr>
          <w:rFonts w:ascii="Times New Roman" w:hAnsi="Times New Roman"/>
          <w:sz w:val="19"/>
        </w:rPr>
        <w:t>Any dark, warm, moist, or cluttered physical void, porous material (e.g., corrugated cardboard, unsealed wall crevices), or accumulated organic residue that provides shelter and breeding grounds for insects or rodents.</w:t>
      </w:r>
    </w:p>
    <w:p>
      <w:pPr>
        <w:spacing w:after="30"/>
        <w:ind w:left="360"/>
      </w:pPr>
      <w:r>
        <w:rPr>
          <w:rFonts w:ascii="Times New Roman" w:hAnsi="Times New Roman"/>
          <w:b/>
        </w:rPr>
        <w:t xml:space="preserve">• </w:t>
      </w:r>
      <w:r>
        <w:rPr>
          <w:rFonts w:ascii="Times New Roman" w:hAnsi="Times New Roman"/>
          <w:b/>
          <w:sz w:val="19"/>
        </w:rPr>
        <w:t xml:space="preserve">Mechanical / Non-Chemical Trap: </w:t>
      </w:r>
      <w:r>
        <w:rPr>
          <w:rFonts w:ascii="Times New Roman" w:hAnsi="Times New Roman"/>
          <w:sz w:val="19"/>
        </w:rPr>
        <w:t>Physical monitoring and capture devices (such as sticky glue boards, mechanical multi-catch traps, and insect light traps) that do not employ exposed toxic chemical baits inside active food handling zones.</w:t>
      </w:r>
    </w:p>
    <w:p>
      <w:pPr>
        <w:spacing w:after="30"/>
        <w:ind w:left="360"/>
      </w:pPr>
      <w:r>
        <w:rPr>
          <w:rFonts w:ascii="Times New Roman" w:hAnsi="Times New Roman"/>
          <w:b/>
        </w:rPr>
        <w:t xml:space="preserve">• </w:t>
      </w:r>
      <w:r>
        <w:rPr>
          <w:rFonts w:ascii="Times New Roman" w:hAnsi="Times New Roman"/>
          <w:b/>
          <w:sz w:val="19"/>
        </w:rPr>
        <w:t xml:space="preserve">Licensed Pest Control Operator (PCO): </w:t>
      </w:r>
      <w:r>
        <w:rPr>
          <w:rFonts w:ascii="Times New Roman" w:hAnsi="Times New Roman"/>
          <w:sz w:val="19"/>
        </w:rPr>
        <w:t>A certified, government-licensed pest management contractor authorized by the Food and Drug Administration (FDA) and Local Government Unit (LGU) to execute structural pest inspections and treatments.</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Kitchen Handlers &amp; Utility Stewards: </w:t>
      </w:r>
      <w:r>
        <w:rPr>
          <w:rFonts w:ascii="Times New Roman" w:hAnsi="Times New Roman"/>
          <w:sz w:val="19"/>
        </w:rPr>
        <w:t>Responsible for maintaining tight-fitting lids on waste bins, emptying refuse when 75% full, executing daily floor and drain sanitation, maintaining zero cardboard on floors, and reporting pest sightings immediately.</w:t>
      </w:r>
    </w:p>
    <w:p>
      <w:pPr>
        <w:spacing w:after="30"/>
        <w:ind w:left="360"/>
      </w:pPr>
      <w:r>
        <w:rPr>
          <w:rFonts w:ascii="Times New Roman" w:hAnsi="Times New Roman"/>
          <w:b/>
        </w:rPr>
        <w:t xml:space="preserve">• </w:t>
      </w:r>
      <w:r>
        <w:rPr>
          <w:rFonts w:ascii="Times New Roman" w:hAnsi="Times New Roman"/>
          <w:b/>
          <w:sz w:val="19"/>
        </w:rPr>
        <w:t xml:space="preserve">Shift Supervisor: </w:t>
      </w:r>
      <w:r>
        <w:rPr>
          <w:rFonts w:ascii="Times New Roman" w:hAnsi="Times New Roman"/>
          <w:sz w:val="19"/>
        </w:rPr>
        <w:t>Responsible for conducting daily opening/closing structural pest sweeps, auditing waste bin cleanliness, logging pest sightings in Form LOG-IPM-01, and inspecting perimeter seals.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managing the licensed PCO contract, reviewing monthly chemical application service reports, archiving Safety Data Sheets (SDS), verifying bait station mapping, and coordinating structural facility repairs with SM Mall Building Administration.</w:t>
      </w:r>
    </w:p>
    <w:p>
      <w:pPr>
        <w:spacing w:after="30"/>
        <w:ind w:left="360"/>
      </w:pPr>
      <w:r>
        <w:rPr>
          <w:rFonts w:ascii="Times New Roman" w:hAnsi="Times New Roman"/>
          <w:b/>
        </w:rPr>
        <w:t xml:space="preserve">• </w:t>
      </w:r>
      <w:r>
        <w:rPr>
          <w:rFonts w:ascii="Times New Roman" w:hAnsi="Times New Roman"/>
          <w:b/>
          <w:sz w:val="19"/>
        </w:rPr>
        <w:t xml:space="preserve">Licensed PCO Contractor: </w:t>
      </w:r>
      <w:r>
        <w:rPr>
          <w:rFonts w:ascii="Times New Roman" w:hAnsi="Times New Roman"/>
          <w:sz w:val="19"/>
        </w:rPr>
        <w:t>Responsible for executing monthly comprehensive inspections, maintaining exterior bait stations, servicing interior mechanical glue traps, applying targeted gel baits in non-food voids, and providing official service manifests.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Structural Pest Exclusion &amp; Building Perimeter Sealing</w:t>
      </w:r>
    </w:p>
    <w:p>
      <w:pPr>
        <w:spacing w:after="30"/>
        <w:ind w:left="288"/>
      </w:pPr>
      <w:r>
        <w:rPr>
          <w:rFonts w:ascii="Times New Roman" w:hAnsi="Times New Roman"/>
          <w:b/>
        </w:rPr>
        <w:t xml:space="preserve">1. </w:t>
      </w:r>
      <w:r>
        <w:rPr>
          <w:rFonts w:ascii="Times New Roman" w:hAnsi="Times New Roman"/>
          <w:sz w:val="19"/>
        </w:rPr>
        <w:t>Zero-Gap Building Envelope: The entire physical perimeter of the store must be inspected and maintained: ABSOLUTELY ZERO openings, wall crevices, structural cracks, or pipe penetrations exceeding 1/4 inch (6 mm) are permitted.</w:t>
      </w:r>
    </w:p>
    <w:p>
      <w:pPr>
        <w:spacing w:after="30"/>
        <w:ind w:left="288"/>
      </w:pPr>
      <w:r>
        <w:rPr>
          <w:rFonts w:ascii="Times New Roman" w:hAnsi="Times New Roman"/>
          <w:b/>
        </w:rPr>
        <w:t xml:space="preserve">2. </w:t>
      </w:r>
      <w:r>
        <w:rPr>
          <w:rFonts w:ascii="Times New Roman" w:hAnsi="Times New Roman"/>
          <w:sz w:val="19"/>
        </w:rPr>
        <w:t>Utility Penetration Sealing: All plumbing lines, electrical conduits, gas pipes, and AC condensate drains entering through drywall or concrete walls must be sealed hermetically using stainless steel escutcheon plates, expanding polyurethane foam, copper mesh (Stuf-fit), or silicone sealant.</w:t>
      </w:r>
    </w:p>
    <w:p>
      <w:pPr>
        <w:spacing w:after="30"/>
        <w:ind w:left="288"/>
      </w:pPr>
      <w:r>
        <w:rPr>
          <w:rFonts w:ascii="Times New Roman" w:hAnsi="Times New Roman"/>
          <w:b/>
        </w:rPr>
        <w:t xml:space="preserve">3. </w:t>
      </w:r>
      <w:r>
        <w:rPr>
          <w:rFonts w:ascii="Times New Roman" w:hAnsi="Times New Roman"/>
          <w:sz w:val="19"/>
        </w:rPr>
        <w:t>Door Threshold Exclusion: The rear kitchen service exit door and pass-through doors must fit completely flush to the frame. Heavy-duty commercial rubber door sweeps must be installed to ensure the bottom gap is strictly less than 1/8 inch (3 mm) above the finished floor.</w:t>
      </w:r>
    </w:p>
    <w:p>
      <w:pPr>
        <w:spacing w:after="30"/>
        <w:ind w:left="288"/>
      </w:pPr>
      <w:r>
        <w:rPr>
          <w:rFonts w:ascii="Times New Roman" w:hAnsi="Times New Roman"/>
          <w:b/>
        </w:rPr>
        <w:t xml:space="preserve">4. </w:t>
      </w:r>
      <w:r>
        <w:rPr>
          <w:rFonts w:ascii="Times New Roman" w:hAnsi="Times New Roman"/>
          <w:sz w:val="19"/>
        </w:rPr>
        <w:t>Ceiling &amp; Drywall Integrity: Ceiling access panels, drywall partitions, and baseboard coving must remain tightly in place. Any compromised drywall or water-damaged ceiling panel must be repaired immediately within 24 hours to eliminate overhead pest runways.</w:t>
      </w:r>
    </w:p>
    <w:p>
      <w:pPr>
        <w:spacing w:before="80" w:after="40"/>
      </w:pPr>
      <w:r>
        <w:rPr>
          <w:b/>
          <w:sz w:val="20"/>
        </w:rPr>
        <w:t>5.2 Non-Chemical Interior Monitoring &amp; Mechanical Trap Mapping</w:t>
      </w:r>
    </w:p>
    <w:p>
      <w:pPr>
        <w:spacing w:after="30"/>
        <w:ind w:left="288"/>
      </w:pPr>
      <w:r>
        <w:rPr>
          <w:rFonts w:ascii="Times New Roman" w:hAnsi="Times New Roman"/>
          <w:b/>
        </w:rPr>
        <w:t xml:space="preserve">1. </w:t>
      </w:r>
      <w:r>
        <w:rPr>
          <w:rFonts w:ascii="Times New Roman" w:hAnsi="Times New Roman"/>
          <w:sz w:val="19"/>
        </w:rPr>
        <w:t>Zero Chemical Aerosols in Production: The use of toxic chemical aerosol sprays (e.g., Baygon, Raid) or open rodenticide poison baits inside food prep, sushi assembly, or storage areas is STRICTLY PROHIBITED to prevent catastrophic chemical food contamination.</w:t>
      </w:r>
    </w:p>
    <w:p>
      <w:pPr>
        <w:spacing w:after="30"/>
        <w:ind w:left="288"/>
      </w:pPr>
      <w:r>
        <w:rPr>
          <w:rFonts w:ascii="Times New Roman" w:hAnsi="Times New Roman"/>
          <w:b/>
        </w:rPr>
        <w:t xml:space="preserve">2. </w:t>
      </w:r>
      <w:r>
        <w:rPr>
          <w:rFonts w:ascii="Times New Roman" w:hAnsi="Times New Roman"/>
          <w:sz w:val="19"/>
        </w:rPr>
        <w:t>Mechanical Sticky Glue Boards: Numbered, tamper-resistant glue board monitoring stations must be placed along floor-wall junctions in non-exposed areas (behind reach-in chillers, adjacent to the 2-sink pit, and near the rear service door).</w:t>
      </w:r>
    </w:p>
    <w:p>
      <w:pPr>
        <w:spacing w:after="30"/>
        <w:ind w:left="288"/>
      </w:pPr>
      <w:r>
        <w:rPr>
          <w:rFonts w:ascii="Times New Roman" w:hAnsi="Times New Roman"/>
          <w:b/>
        </w:rPr>
        <w:t xml:space="preserve">3. </w:t>
      </w:r>
      <w:r>
        <w:rPr>
          <w:rFonts w:ascii="Times New Roman" w:hAnsi="Times New Roman"/>
          <w:sz w:val="19"/>
        </w:rPr>
        <w:t>Insect Light Traps (ILTs): Electronic glue-board fly traps must be installed near customer and service entryways: (a) Traps must operate 24/7; (b) Must NEVER be installed directly above open food prep counters, sushi display cases, or dishware drying racks; (c) UV bulbs must be replaced annually; (d) Glue boards must be inspected weekly and replaced when 50% covered.</w:t>
      </w:r>
    </w:p>
    <w:p>
      <w:pPr>
        <w:spacing w:after="30"/>
        <w:ind w:left="288"/>
      </w:pPr>
      <w:r>
        <w:rPr>
          <w:rFonts w:ascii="Times New Roman" w:hAnsi="Times New Roman"/>
          <w:b/>
        </w:rPr>
        <w:t xml:space="preserve">4. </w:t>
      </w:r>
      <w:r>
        <w:rPr>
          <w:rFonts w:ascii="Times New Roman" w:hAnsi="Times New Roman"/>
          <w:sz w:val="19"/>
        </w:rPr>
        <w:t>Official PCO Trap Map: A laminated floor plan schematic identifying all numbered trap locations must be mounted in the compliance binder. Handlers must never move or obscure traps.</w:t>
      </w:r>
    </w:p>
    <w:p>
      <w:pPr>
        <w:spacing w:before="80" w:after="40"/>
      </w:pPr>
      <w:r>
        <w:rPr>
          <w:b/>
          <w:sz w:val="20"/>
        </w:rPr>
        <w:t>5.3 Refuse Management, Foot-Pedal Bins &amp; Waste Segregation (RA 9003)</w:t>
      </w:r>
    </w:p>
    <w:p>
      <w:pPr>
        <w:spacing w:after="30"/>
        <w:ind w:left="288"/>
      </w:pPr>
      <w:r>
        <w:rPr>
          <w:rFonts w:ascii="Times New Roman" w:hAnsi="Times New Roman"/>
          <w:b/>
        </w:rPr>
        <w:t xml:space="preserve">1. </w:t>
      </w:r>
      <w:r>
        <w:rPr>
          <w:rFonts w:ascii="Times New Roman" w:hAnsi="Times New Roman"/>
          <w:sz w:val="19"/>
        </w:rPr>
        <w:t>Covered Refuse Receptacles: All waste receptacles deployed across BOH prep lines, the sushi bar, and warewashing pit must be constructed of non-absorbent, heavy-duty commercial plastic, lined with heavy-gauge plastic trash liners, and equipped with functional, tight-fitting foot-pedal operated lids.</w:t>
      </w:r>
    </w:p>
    <w:p>
      <w:pPr>
        <w:spacing w:after="30"/>
        <w:ind w:left="288"/>
      </w:pPr>
      <w:r>
        <w:rPr>
          <w:rFonts w:ascii="Times New Roman" w:hAnsi="Times New Roman"/>
          <w:b/>
        </w:rPr>
        <w:t xml:space="preserve">2. </w:t>
      </w:r>
      <w:r>
        <w:rPr>
          <w:rFonts w:ascii="Times New Roman" w:hAnsi="Times New Roman"/>
          <w:sz w:val="19"/>
        </w:rPr>
        <w:t>Zero Overflowing Mandate: Waste bins must NEVER be allowed to overflow. Bins must be tied closed, removed, and emptied into the mall central waste compactor as soon as they reach 75% capacity, and at the conclusion of every operational shift.</w:t>
      </w:r>
    </w:p>
    <w:p>
      <w:pPr>
        <w:spacing w:after="30"/>
        <w:ind w:left="288"/>
      </w:pPr>
      <w:r>
        <w:rPr>
          <w:rFonts w:ascii="Times New Roman" w:hAnsi="Times New Roman"/>
          <w:b/>
        </w:rPr>
        <w:t xml:space="preserve">3. </w:t>
      </w:r>
      <w:r>
        <w:rPr>
          <w:rFonts w:ascii="Times New Roman" w:hAnsi="Times New Roman"/>
          <w:sz w:val="19"/>
        </w:rPr>
        <w:t>Mandatory Waste Segregation: Refuse must be systematically segregated into: (1) Biodegradable / Food Waste (leftover rice, vegetable trimmings, broth solids) and (2) Non-Biodegradable / Recyclable Waste (cans, plastic bottles, packaging). Bins must be clearly labeled.</w:t>
      </w:r>
    </w:p>
    <w:p>
      <w:pPr>
        <w:spacing w:after="30"/>
        <w:ind w:left="288"/>
      </w:pPr>
      <w:r>
        <w:rPr>
          <w:rFonts w:ascii="Times New Roman" w:hAnsi="Times New Roman"/>
          <w:b/>
        </w:rPr>
        <w:t xml:space="preserve">4. </w:t>
      </w:r>
      <w:r>
        <w:rPr>
          <w:rFonts w:ascii="Times New Roman" w:hAnsi="Times New Roman"/>
          <w:sz w:val="19"/>
        </w:rPr>
        <w:t>Daily Bin Sanitization: At daily closing, all trash receptacles must be emptied, washed inside and out with hot degreaser water at the mop sink, sanitized with 100 ppm chlorine solution, inverted to air-dry, and re-lined with fresh plastic bags prior to morning opening.</w:t>
      </w:r>
    </w:p>
    <w:p>
      <w:pPr>
        <w:spacing w:before="80" w:after="40"/>
      </w:pPr>
      <w:r>
        <w:rPr>
          <w:b/>
          <w:sz w:val="20"/>
        </w:rPr>
        <w:t>5.4 Grease Trap, Floor Drain &amp; Motor Compressor Harborage Control</w:t>
      </w:r>
    </w:p>
    <w:p>
      <w:pPr>
        <w:spacing w:after="30"/>
        <w:ind w:left="288"/>
      </w:pPr>
      <w:r>
        <w:rPr>
          <w:rFonts w:ascii="Times New Roman" w:hAnsi="Times New Roman"/>
          <w:b/>
        </w:rPr>
        <w:t xml:space="preserve">1. </w:t>
      </w:r>
      <w:r>
        <w:rPr>
          <w:rFonts w:ascii="Times New Roman" w:hAnsi="Times New Roman"/>
          <w:sz w:val="19"/>
        </w:rPr>
        <w:t>Weekly Grease Trap Sanitization &amp; Hermetic Seal: The under-sink grease trap must be opened, skimmed, and thoroughly scraped clean of solidified grease and organic sludge every Sunday after closing. Following cleaning, the gasket seal must be inspected and the lid clamped airtight to eliminate cockroach and drain fly breeding.</w:t>
      </w:r>
    </w:p>
    <w:p>
      <w:pPr>
        <w:spacing w:after="30"/>
        <w:ind w:left="288"/>
      </w:pPr>
      <w:r>
        <w:rPr>
          <w:rFonts w:ascii="Times New Roman" w:hAnsi="Times New Roman"/>
          <w:b/>
        </w:rPr>
        <w:t xml:space="preserve">2. </w:t>
      </w:r>
      <w:r>
        <w:rPr>
          <w:rFonts w:ascii="Times New Roman" w:hAnsi="Times New Roman"/>
          <w:sz w:val="19"/>
        </w:rPr>
        <w:t>Daily Floor Drain Treatment: All floor drains and sink drainage cups must be cleared of food debris daily, scrubbed with wire brushes, and treated with hot water and enzymatic cleaner (or 100 ppm chlorine solution) to strip organic slime biofilms.</w:t>
      </w:r>
    </w:p>
    <w:p>
      <w:pPr>
        <w:spacing w:after="30"/>
        <w:ind w:left="288"/>
      </w:pPr>
      <w:r>
        <w:rPr>
          <w:rFonts w:ascii="Times New Roman" w:hAnsi="Times New Roman"/>
          <w:b/>
        </w:rPr>
        <w:t xml:space="preserve">3. </w:t>
      </w:r>
      <w:r>
        <w:rPr>
          <w:rFonts w:ascii="Times New Roman" w:hAnsi="Times New Roman"/>
          <w:sz w:val="19"/>
        </w:rPr>
        <w:t>Refrigeration Compressor Void Inspection: Under-counter refrigeration motor housings and compressor grill zones must be vacuumed, degreased, and inspected bi-weekly to prevent heat-seeking German cockroaches from establishing nesting colonies.</w:t>
      </w:r>
    </w:p>
    <w:p>
      <w:pPr>
        <w:spacing w:after="30"/>
        <w:ind w:left="288"/>
      </w:pPr>
      <w:r>
        <w:rPr>
          <w:rFonts w:ascii="Times New Roman" w:hAnsi="Times New Roman"/>
          <w:b/>
        </w:rPr>
        <w:t xml:space="preserve">4. </w:t>
      </w:r>
      <w:r>
        <w:rPr>
          <w:rFonts w:ascii="Times New Roman" w:hAnsi="Times New Roman"/>
          <w:sz w:val="19"/>
        </w:rPr>
        <w:t>Permanent Cardboard Elimination: Enforce PRP 2.0: ABSOLUTELY ZERO corrugated cardboard boxes or sheets permitted as floor mats, storage liners, or shelving pads. Discard all incoming external cardboard delivery boxes immediately.</w:t>
      </w:r>
    </w:p>
    <w:p>
      <w:pPr>
        <w:spacing w:before="80" w:after="40"/>
      </w:pPr>
      <w:r>
        <w:rPr>
          <w:b/>
          <w:sz w:val="20"/>
        </w:rPr>
        <w:t>5.5 Licensed PCO Servicing, Pesticide Safety &amp; Protocol</w:t>
      </w:r>
    </w:p>
    <w:p>
      <w:pPr>
        <w:spacing w:after="30"/>
        <w:ind w:left="288"/>
      </w:pPr>
      <w:r>
        <w:rPr>
          <w:rFonts w:ascii="Times New Roman" w:hAnsi="Times New Roman"/>
          <w:b/>
        </w:rPr>
        <w:t xml:space="preserve">1. </w:t>
      </w:r>
      <w:r>
        <w:rPr>
          <w:rFonts w:ascii="Times New Roman" w:hAnsi="Times New Roman"/>
          <w:sz w:val="19"/>
        </w:rPr>
        <w:t>Monthly Professional Servicing: A certified, licensed Pest Control Operator (PCO) must conduct monthly scheduled inspections and targeted treatments during non-operating hours (post-closing).</w:t>
      </w:r>
    </w:p>
    <w:p>
      <w:pPr>
        <w:spacing w:after="30"/>
        <w:ind w:left="288"/>
      </w:pPr>
      <w:r>
        <w:rPr>
          <w:rFonts w:ascii="Times New Roman" w:hAnsi="Times New Roman"/>
          <w:b/>
        </w:rPr>
        <w:t xml:space="preserve">2. </w:t>
      </w:r>
      <w:r>
        <w:rPr>
          <w:rFonts w:ascii="Times New Roman" w:hAnsi="Times New Roman"/>
          <w:sz w:val="19"/>
        </w:rPr>
        <w:t>Targeted Gel Baits: Insect growth regulators (IGR) and micro-encapsulated bait gels (e.g., Hydramethylnon, Fipronil) must be applied exclusively in tiny, discreet droplets inside deep structural crevices, electrical voids, and hinges away from food-contact surfaces.</w:t>
      </w:r>
    </w:p>
    <w:p>
      <w:pPr>
        <w:spacing w:after="30"/>
        <w:ind w:left="288"/>
      </w:pPr>
      <w:r>
        <w:rPr>
          <w:rFonts w:ascii="Times New Roman" w:hAnsi="Times New Roman"/>
          <w:b/>
        </w:rPr>
        <w:t xml:space="preserve">3. </w:t>
      </w:r>
      <w:r>
        <w:rPr>
          <w:rFonts w:ascii="Times New Roman" w:hAnsi="Times New Roman"/>
          <w:sz w:val="19"/>
        </w:rPr>
        <w:t>Pre-Treatment Food Protection: Before any PCO treatment: (a) All food items, sushi ingredients, and packaging must be stored in airtight containers or sealed inside chillers; (b) All pots, pans, cutting boards, and smallwares must be inverted, covered with plastic drop cloths, or stored in sealed cabinets.</w:t>
      </w:r>
    </w:p>
    <w:p>
      <w:pPr>
        <w:spacing w:after="30"/>
        <w:ind w:left="288"/>
      </w:pPr>
      <w:r>
        <w:rPr>
          <w:rFonts w:ascii="Times New Roman" w:hAnsi="Times New Roman"/>
          <w:b/>
        </w:rPr>
        <w:t xml:space="preserve">4. </w:t>
      </w:r>
      <w:r>
        <w:rPr>
          <w:rFonts w:ascii="Times New Roman" w:hAnsi="Times New Roman"/>
          <w:sz w:val="19"/>
        </w:rPr>
        <w:t>Post-Treatment Decontamination: Before morning prep resumes following a chemical treatment: All food prep tables, cutting boards, and cooking line surfaces must undergo a complete 3-step Wash, Rinse, and Chemical Sanitization (200 ppm Quat) cycle.</w:t>
      </w:r>
    </w:p>
    <w:p>
      <w:pPr>
        <w:spacing w:after="30"/>
        <w:ind w:left="288"/>
      </w:pPr>
      <w:r>
        <w:rPr>
          <w:rFonts w:ascii="Times New Roman" w:hAnsi="Times New Roman"/>
          <w:b/>
        </w:rPr>
        <w:t xml:space="preserve">5. </w:t>
      </w:r>
      <w:r>
        <w:rPr>
          <w:rFonts w:ascii="Times New Roman" w:hAnsi="Times New Roman"/>
          <w:sz w:val="19"/>
        </w:rPr>
        <w:t>Documentation &amp; SDS Binder: PCO service reports detailing technician name, chemical active ingredients, EPA/FDA registration numbers, target pests, and treatment zones must be signed by management and archived alongside complete Safety Data Sheets (SDS) in the compliance binder.</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conducts daily AM Opening (10:00) and PM Closing (22:00) pest and refuse sweeps across all BOH/FOH stations.</w:t>
      </w:r>
    </w:p>
    <w:p>
      <w:pPr>
        <w:spacing w:after="30"/>
        <w:ind w:left="288"/>
      </w:pPr>
      <w:r>
        <w:rPr>
          <w:rFonts w:ascii="Times New Roman" w:hAnsi="Times New Roman"/>
          <w:b/>
        </w:rPr>
        <w:t xml:space="preserve">2. </w:t>
      </w:r>
      <w:r>
        <w:rPr>
          <w:rFonts w:ascii="Times New Roman" w:hAnsi="Times New Roman"/>
          <w:sz w:val="19"/>
        </w:rPr>
        <w:t>Verify: (a) Zero live/dead pest sightings, (b) Zero droppings or rub marks, (c) Trash bins covered and emptied (&lt; 75% full), (d) Grease trap sealed airtight, (e) Perimeter wall/pipe seals intact.</w:t>
      </w:r>
    </w:p>
    <w:p>
      <w:pPr>
        <w:spacing w:after="30"/>
        <w:ind w:left="288"/>
      </w:pPr>
      <w:r>
        <w:rPr>
          <w:rFonts w:ascii="Times New Roman" w:hAnsi="Times New Roman"/>
          <w:b/>
        </w:rPr>
        <w:t xml:space="preserve">3. </w:t>
      </w:r>
      <w:r>
        <w:rPr>
          <w:rFonts w:ascii="Times New Roman" w:hAnsi="Times New Roman"/>
          <w:sz w:val="19"/>
        </w:rPr>
        <w:t>Log all daily pest activity, refuse checks, and sightings immediately in Form LOG-IPM-01.</w:t>
      </w:r>
    </w:p>
    <w:p>
      <w:pPr>
        <w:spacing w:after="30"/>
        <w:ind w:left="288"/>
      </w:pPr>
      <w:r>
        <w:rPr>
          <w:rFonts w:ascii="Times New Roman" w:hAnsi="Times New Roman"/>
          <w:b/>
        </w:rPr>
        <w:t xml:space="preserve">4. </w:t>
      </w:r>
      <w:r>
        <w:rPr>
          <w:rFonts w:ascii="Times New Roman" w:hAnsi="Times New Roman"/>
          <w:sz w:val="19"/>
        </w:rPr>
        <w:t>Lead FSCO audits monthly PCO service manifests, inspects glue boards, and reviews SDS binders during monthly compliance surveillance.</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Active Pest Sighting / Droppings Found: </w:t>
      </w:r>
      <w:r>
        <w:rPr>
          <w:rFonts w:ascii="Times New Roman" w:hAnsi="Times New Roman"/>
          <w:sz w:val="19"/>
        </w:rPr>
        <w:t>Immediately identify the specific location. Condemn and discard any exposed food or packaging in the area. Contact the licensed PCO for an emergency targeted call-out service within 24 hours. Log the deviation and root cause in Form LOG-DEV-01.</w:t>
      </w:r>
    </w:p>
    <w:p>
      <w:pPr>
        <w:spacing w:after="30"/>
        <w:ind w:left="360"/>
      </w:pPr>
      <w:r>
        <w:rPr>
          <w:rFonts w:ascii="Times New Roman" w:hAnsi="Times New Roman"/>
          <w:b/>
        </w:rPr>
        <w:t xml:space="preserve">• </w:t>
      </w:r>
      <w:r>
        <w:rPr>
          <w:rFonts w:ascii="Times New Roman" w:hAnsi="Times New Roman"/>
          <w:b/>
          <w:sz w:val="19"/>
        </w:rPr>
        <w:t xml:space="preserve">Unsealed Perimeter Gap Spotted: </w:t>
      </w:r>
      <w:r>
        <w:rPr>
          <w:rFonts w:ascii="Times New Roman" w:hAnsi="Times New Roman"/>
          <w:sz w:val="19"/>
        </w:rPr>
        <w:t>Deploy immediate temporary containment (copper mesh + expanding foam / silicone) within 2 hours. File an emergency work order with SM Mall Building Administration for permanent masonry repair.</w:t>
      </w:r>
    </w:p>
    <w:p>
      <w:pPr>
        <w:spacing w:after="30"/>
        <w:ind w:left="360"/>
      </w:pPr>
      <w:r>
        <w:rPr>
          <w:rFonts w:ascii="Times New Roman" w:hAnsi="Times New Roman"/>
          <w:b/>
        </w:rPr>
        <w:t xml:space="preserve">• </w:t>
      </w:r>
      <w:r>
        <w:rPr>
          <w:rFonts w:ascii="Times New Roman" w:hAnsi="Times New Roman"/>
          <w:b/>
          <w:sz w:val="19"/>
        </w:rPr>
        <w:t xml:space="preserve">Uncovered / Overflowing Trash Bins: </w:t>
      </w:r>
      <w:r>
        <w:rPr>
          <w:rFonts w:ascii="Times New Roman" w:hAnsi="Times New Roman"/>
          <w:sz w:val="19"/>
        </w:rPr>
        <w:t>Immediately mandate utility stewards to tie and dispose of excess trash into the central compactor. Wash bin exterior, scrub foot-pedal mechanism, and replace liner. Issue verbal warning to station lead.</w:t>
      </w:r>
    </w:p>
    <w:p>
      <w:pPr>
        <w:spacing w:after="30"/>
        <w:ind w:left="360"/>
      </w:pPr>
      <w:r>
        <w:rPr>
          <w:rFonts w:ascii="Times New Roman" w:hAnsi="Times New Roman"/>
          <w:b/>
        </w:rPr>
        <w:t xml:space="preserve">• </w:t>
      </w:r>
      <w:r>
        <w:rPr>
          <w:rFonts w:ascii="Times New Roman" w:hAnsi="Times New Roman"/>
          <w:b/>
          <w:sz w:val="19"/>
        </w:rPr>
        <w:t xml:space="preserve">Grease Trap Odor / Leaking Gasket: </w:t>
      </w:r>
      <w:r>
        <w:rPr>
          <w:rFonts w:ascii="Times New Roman" w:hAnsi="Times New Roman"/>
          <w:sz w:val="19"/>
        </w:rPr>
        <w:t>Immediately open and re-scrape the grease trap. Clean gasket channel and re-clamp lid airtight. Apply enzymatic cleaner down the connected drain lines.</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Trend Analysis: </w:t>
      </w:r>
      <w:r>
        <w:rPr>
          <w:rFonts w:ascii="Times New Roman" w:hAnsi="Times New Roman"/>
          <w:sz w:val="19"/>
        </w:rPr>
        <w:t>The Lead FSCO reviews Form LOG-IPM-01 and PCO manifests monthly to verify zero upward trends in pest captures and 100% completion of daily sweeps.</w:t>
      </w:r>
    </w:p>
    <w:p>
      <w:pPr>
        <w:spacing w:after="30"/>
        <w:ind w:left="360"/>
      </w:pPr>
      <w:r>
        <w:rPr>
          <w:rFonts w:ascii="Times New Roman" w:hAnsi="Times New Roman"/>
          <w:b/>
        </w:rPr>
        <w:t xml:space="preserve">• </w:t>
      </w:r>
      <w:r>
        <w:rPr>
          <w:rFonts w:ascii="Times New Roman" w:hAnsi="Times New Roman"/>
          <w:b/>
          <w:sz w:val="19"/>
        </w:rPr>
        <w:t xml:space="preserve">Physical Perimeter Audit: </w:t>
      </w:r>
      <w:r>
        <w:rPr>
          <w:rFonts w:ascii="Times New Roman" w:hAnsi="Times New Roman"/>
          <w:sz w:val="19"/>
        </w:rPr>
        <w:t>Monthly physical inspection by FSCO using a fine structural probe to test all wall junctions and door sweeps for gaps &gt; 1/4 inch.</w:t>
      </w:r>
    </w:p>
    <w:p>
      <w:pPr>
        <w:spacing w:after="30"/>
        <w:ind w:left="360"/>
      </w:pPr>
      <w:r>
        <w:rPr>
          <w:rFonts w:ascii="Times New Roman" w:hAnsi="Times New Roman"/>
          <w:b/>
        </w:rPr>
        <w:t xml:space="preserve">• </w:t>
      </w:r>
      <w:r>
        <w:rPr>
          <w:rFonts w:ascii="Times New Roman" w:hAnsi="Times New Roman"/>
          <w:b/>
          <w:sz w:val="19"/>
        </w:rPr>
        <w:t xml:space="preserve">Regulatory Compliance: </w:t>
      </w:r>
      <w:r>
        <w:rPr>
          <w:rFonts w:ascii="Times New Roman" w:hAnsi="Times New Roman"/>
          <w:sz w:val="19"/>
        </w:rPr>
        <w:t>Ensure the facility maintains zero pest activity and full PCO documentation to pass all LGU City Health Office and SM Mall EHS sanitary audits.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LOG-IPM-01: </w:t>
      </w:r>
      <w:r>
        <w:rPr>
          <w:rFonts w:ascii="Times New Roman" w:hAnsi="Times New Roman"/>
          <w:sz w:val="19"/>
        </w:rPr>
        <w:t>Daily &amp; Monthly Integrated Pest Management (IPM) &amp; Refuse Audit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PCO Service Reports &amp; Chemical Manifests: </w:t>
      </w:r>
      <w:r>
        <w:rPr>
          <w:rFonts w:ascii="Times New Roman" w:hAnsi="Times New Roman"/>
          <w:sz w:val="19"/>
        </w:rPr>
        <w:t>Official monthly licensed contractor treatment documentation</w:t>
      </w:r>
    </w:p>
    <w:p>
      <w:pPr>
        <w:spacing w:after="30"/>
        <w:ind w:left="360"/>
      </w:pPr>
      <w:r>
        <w:rPr>
          <w:rFonts w:ascii="Times New Roman" w:hAnsi="Times New Roman"/>
          <w:b/>
        </w:rPr>
        <w:t xml:space="preserve">• </w:t>
      </w:r>
      <w:r>
        <w:rPr>
          <w:rFonts w:ascii="Times New Roman" w:hAnsi="Times New Roman"/>
          <w:b/>
          <w:sz w:val="19"/>
        </w:rPr>
        <w:t xml:space="preserve">PCO Schematic Trap Layout Map &amp; SDS Binder: </w:t>
      </w:r>
      <w:r>
        <w:rPr>
          <w:rFonts w:ascii="Times New Roman" w:hAnsi="Times New Roman"/>
          <w:sz w:val="19"/>
        </w:rPr>
        <w:t>Floor plan trap mapping and official chemical Safety Data Sheets.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LOG-IPM-01: DAILY &amp; MONTHLY INTEGRATED PEST MANAGEMENT (IPM) &amp; REFUSE LOG</w:t>
      </w:r>
    </w:p>
    <w:p>
      <w:pPr>
        <w:spacing w:after="80"/>
      </w:pPr>
      <w:r>
        <w:rPr>
          <w:rFonts w:ascii="Times New Roman" w:hAnsi="Times New Roman"/>
          <w:b/>
          <w:sz w:val="18"/>
        </w:rPr>
        <w:t xml:space="preserve">Instructions: </w:t>
      </w:r>
      <w:r>
        <w:rPr>
          <w:rFonts w:ascii="Times New Roman" w:hAnsi="Times New Roman"/>
          <w:sz w:val="18"/>
        </w:rPr>
        <w:t>This form must be completed daily by the shift supervisor. Inspect facility for live/dead pests, verify covered foot-pedal bins (&lt; 75% full), airtight grease trap seal, intact perimeter seals, and monthly PCO visits.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40" w:type="dxa"/>
              <w:right w:w="40" w:type="dxa"/>
            </w:tcMar>
          </w:tcPr>
          <w:p>
            <w:pPr>
              <w:spacing w:after="0"/>
              <w:jc w:val="center"/>
            </w:pPr>
            <w:r>
              <w:rPr>
                <w:rFonts w:ascii="Times New Roman" w:hAnsi="Times New Roman"/>
                <w:b/>
                <w:color w:val="FFFFFF"/>
                <w:sz w:val="15"/>
              </w:rPr>
              <w:t>Date</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Zero Pest Activity / Droppings?</w:t>
            </w:r>
          </w:p>
        </w:tc>
        <w:tc>
          <w:tcPr>
            <w:tcW w:type="dxa" w:w="1656"/>
            <w:shd w:fill="1B365D"/>
            <w:tcMar>
              <w:top w:w="50" w:type="dxa"/>
              <w:bottom w:w="50" w:type="dxa"/>
              <w:left w:w="40" w:type="dxa"/>
              <w:right w:w="40" w:type="dxa"/>
            </w:tcMar>
          </w:tcPr>
          <w:p>
            <w:pPr>
              <w:spacing w:after="0"/>
              <w:jc w:val="center"/>
            </w:pPr>
            <w:r>
              <w:rPr>
                <w:rFonts w:ascii="Times New Roman" w:hAnsi="Times New Roman"/>
                <w:b/>
                <w:color w:val="FFFFFF"/>
                <w:sz w:val="15"/>
              </w:rPr>
              <w:t>Bins Covered &amp; Emptied (&lt;75%)?</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Grease Trap Clean &amp; Sealed?</w:t>
            </w:r>
          </w:p>
        </w:tc>
        <w:tc>
          <w:tcPr>
            <w:tcW w:type="dxa" w:w="1584"/>
            <w:shd w:fill="1B365D"/>
            <w:tcMar>
              <w:top w:w="50" w:type="dxa"/>
              <w:bottom w:w="50" w:type="dxa"/>
              <w:left w:w="40" w:type="dxa"/>
              <w:right w:w="40" w:type="dxa"/>
            </w:tcMar>
          </w:tcPr>
          <w:p>
            <w:pPr>
              <w:spacing w:after="0"/>
              <w:jc w:val="center"/>
            </w:pPr>
            <w:r>
              <w:rPr>
                <w:rFonts w:ascii="Times New Roman" w:hAnsi="Times New Roman"/>
                <w:b/>
                <w:color w:val="FFFFFF"/>
                <w:sz w:val="15"/>
              </w:rPr>
              <w:t>Perimeter Seals Intact (No Gaps)?</w:t>
            </w:r>
          </w:p>
        </w:tc>
        <w:tc>
          <w:tcPr>
            <w:tcW w:type="dxa" w:w="1440"/>
            <w:shd w:fill="1B365D"/>
            <w:tcMar>
              <w:top w:w="50" w:type="dxa"/>
              <w:bottom w:w="50" w:type="dxa"/>
              <w:left w:w="40" w:type="dxa"/>
              <w:right w:w="40" w:type="dxa"/>
            </w:tcMar>
          </w:tcPr>
          <w:p>
            <w:pPr>
              <w:spacing w:after="0"/>
              <w:jc w:val="center"/>
            </w:pPr>
            <w:r>
              <w:rPr>
                <w:rFonts w:ascii="Times New Roman" w:hAnsi="Times New Roman"/>
                <w:b/>
                <w:color w:val="FFFFFF"/>
                <w:sz w:val="15"/>
              </w:rPr>
              <w:t>Glue Traps / ILTs Clean?</w:t>
            </w:r>
          </w:p>
        </w:tc>
        <w:tc>
          <w:tcPr>
            <w:tcW w:type="dxa" w:w="1296"/>
            <w:shd w:fill="1B365D"/>
            <w:tcMar>
              <w:top w:w="50" w:type="dxa"/>
              <w:bottom w:w="50" w:type="dxa"/>
              <w:left w:w="40" w:type="dxa"/>
              <w:right w:w="40" w:type="dxa"/>
            </w:tcMar>
          </w:tcPr>
          <w:p>
            <w:pPr>
              <w:spacing w:after="0"/>
              <w:jc w:val="center"/>
            </w:pPr>
            <w:r>
              <w:rPr>
                <w:rFonts w:ascii="Times New Roman" w:hAnsi="Times New Roman"/>
                <w:b/>
                <w:color w:val="FFFFFF"/>
                <w:sz w:val="15"/>
              </w:rPr>
              <w:t>Supervisor Sign-Off</w:t>
            </w: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r>
        <w:tc>
          <w:tcPr>
            <w:tcW w:type="dxa" w:w="122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656"/>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584"/>
            <w:shd w:fill="F9FAFB"/>
            <w:tcMar>
              <w:top w:w="35" w:type="dxa"/>
              <w:bottom w:w="35" w:type="dxa"/>
              <w:left w:w="40" w:type="dxa"/>
              <w:right w:w="40" w:type="dxa"/>
            </w:tcMar>
          </w:tcPr>
          <w:p>
            <w:pPr>
              <w:spacing w:after="0" w:before="0"/>
            </w:pPr>
          </w:p>
        </w:tc>
        <w:tc>
          <w:tcPr>
            <w:tcW w:type="dxa" w:w="1440"/>
            <w:shd w:fill="F9FAFB"/>
            <w:tcMar>
              <w:top w:w="35" w:type="dxa"/>
              <w:bottom w:w="35" w:type="dxa"/>
              <w:left w:w="40" w:type="dxa"/>
              <w:right w:w="40" w:type="dxa"/>
            </w:tcMar>
          </w:tcPr>
          <w:p>
            <w:pPr>
              <w:spacing w:after="0" w:before="0"/>
            </w:pPr>
          </w:p>
        </w:tc>
        <w:tc>
          <w:tcPr>
            <w:tcW w:type="dxa" w:w="1296"/>
            <w:shd w:fill="F9FAFB"/>
            <w:tcMar>
              <w:top w:w="35" w:type="dxa"/>
              <w:bottom w:w="35" w:type="dxa"/>
              <w:left w:w="40" w:type="dxa"/>
              <w:right w:w="40" w:type="dxa"/>
            </w:tcMar>
          </w:tcPr>
          <w:p>
            <w:pPr>
              <w:spacing w:after="0" w:before="0"/>
            </w:pPr>
          </w:p>
        </w:tc>
      </w:tr>
      <w:tr>
        <w:tc>
          <w:tcPr>
            <w:tcW w:type="dxa" w:w="122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656"/>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584"/>
            <w:shd w:fill="FFFFFF"/>
            <w:tcMar>
              <w:top w:w="35" w:type="dxa"/>
              <w:bottom w:w="35" w:type="dxa"/>
              <w:left w:w="40" w:type="dxa"/>
              <w:right w:w="40" w:type="dxa"/>
            </w:tcMar>
          </w:tcPr>
          <w:p>
            <w:pPr>
              <w:spacing w:after="0" w:before="0"/>
            </w:pPr>
          </w:p>
        </w:tc>
        <w:tc>
          <w:tcPr>
            <w:tcW w:type="dxa" w:w="1440"/>
            <w:shd w:fill="FFFFFF"/>
            <w:tcMar>
              <w:top w:w="35" w:type="dxa"/>
              <w:bottom w:w="35" w:type="dxa"/>
              <w:left w:w="40" w:type="dxa"/>
              <w:right w:w="40" w:type="dxa"/>
            </w:tcMar>
          </w:tcPr>
          <w:p>
            <w:pPr>
              <w:spacing w:after="0" w:before="0"/>
            </w:pPr>
          </w:p>
        </w:tc>
        <w:tc>
          <w:tcPr>
            <w:tcW w:type="dxa" w:w="1296"/>
            <w:shd w:fill="FFFFFF"/>
            <w:tcMar>
              <w:top w:w="35" w:type="dxa"/>
              <w:bottom w:w="35" w:type="dxa"/>
              <w:left w:w="40" w:type="dxa"/>
              <w:right w:w="4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