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SOP-HOT-01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SOP-HOT-01 – Deep-Frying Thermal Lethality &amp; Fryer Oil TPM Monitoring Protocol (HACCP CCP 3)</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scientifically validated operational controls for commercial deep-frying thermal lethality (microbiological kill step), frying oil chemical quality, and Total Polar Materials (TPM) monitoring across all fried Japanese menu items. Deep-frying serves as the definitive thermal lethality barrier eliminating vegetative foodborne pathogens—specifically Salmonella spp., Campylobacter jejuni, Listeria monocytogenes, and Staphylococcus aureus in raw poultry, pork, seafood, and breaded items. Additionally, thermal breakdown of cooking oil generates harmful polar compounds, free fatty acids, and acrylamides that impair food quality and present chemical health hazards. This SOP establishes HACCP Critical Control Point 3 (CCP 3) to mandate internal core lethality temperatures (Chicken Karaage &gt;= 74°C, Pork Tonkatsu &gt;= 70°C, Tempura Seafood &gt;= 63°C) and restrict frying oil TPM to &lt;= 24.0%, in strict compliance with Republic Act No. 10611, Presidential Decree No. 856, and Codex Alimentarius CXC 1-1969.</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to all hot kitchen deep-frying equipment, commercial fryer vats, cooking oils, and breaded/battered fried menu items at Suteki Japanese Restaurant, SM Dasmariñas, Cavite. This encompasses Chicken Karaage, Pork Tonkatsu loin cutlets, Ebi Tempura, Calamari Tempura, Takoyaki balls, and tempura garnishes.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Thermal Lethality (Kill Step - HACCP CCP 3): </w:t>
      </w:r>
      <w:r>
        <w:rPr>
          <w:rFonts w:ascii="Times New Roman" w:hAnsi="Times New Roman"/>
          <w:sz w:val="19"/>
        </w:rPr>
        <w:t>A validated thermal process where food is exposed to a specific core temperature for a defined holding duration to achieve a 6-log (99.9999%) reduction of target vegetative bacterial pathogens.</w:t>
      </w:r>
    </w:p>
    <w:p>
      <w:pPr>
        <w:spacing w:after="30"/>
        <w:ind w:left="360"/>
      </w:pPr>
      <w:r>
        <w:rPr>
          <w:rFonts w:ascii="Times New Roman" w:hAnsi="Times New Roman"/>
          <w:b/>
        </w:rPr>
        <w:t xml:space="preserve">• </w:t>
      </w:r>
      <w:r>
        <w:rPr>
          <w:rFonts w:ascii="Times New Roman" w:hAnsi="Times New Roman"/>
          <w:b/>
          <w:sz w:val="19"/>
        </w:rPr>
        <w:t xml:space="preserve">Total Polar Materials (TPM): </w:t>
      </w:r>
      <w:r>
        <w:rPr>
          <w:rFonts w:ascii="Times New Roman" w:hAnsi="Times New Roman"/>
          <w:sz w:val="19"/>
        </w:rPr>
        <w:t>The definitive chemical benchmark measuring the degradation, oxidation, and polymerization of frying oil; higher TPM percentages indicate decomposed oil that creates acrid off-flavors and chemical toxicity.</w:t>
      </w:r>
    </w:p>
    <w:p>
      <w:pPr>
        <w:spacing w:after="30"/>
        <w:ind w:left="360"/>
      </w:pPr>
      <w:r>
        <w:rPr>
          <w:rFonts w:ascii="Times New Roman" w:hAnsi="Times New Roman"/>
          <w:b/>
        </w:rPr>
        <w:t xml:space="preserve">• </w:t>
      </w:r>
      <w:r>
        <w:rPr>
          <w:rFonts w:ascii="Times New Roman" w:hAnsi="Times New Roman"/>
          <w:b/>
          <w:sz w:val="19"/>
        </w:rPr>
        <w:t xml:space="preserve">Oil Smoke Point: </w:t>
      </w:r>
      <w:r>
        <w:rPr>
          <w:rFonts w:ascii="Times New Roman" w:hAnsi="Times New Roman"/>
          <w:sz w:val="19"/>
        </w:rPr>
        <w:t>The temperature at which cooking oil begins to smoke continuously and break down chemically (fresh palm/canola frying oil: &gt;= 215°C / 420°F; degraded oil drops below 170°C / 338°F).</w:t>
      </w:r>
    </w:p>
    <w:p>
      <w:pPr>
        <w:spacing w:after="30"/>
        <w:ind w:left="360"/>
      </w:pPr>
      <w:r>
        <w:rPr>
          <w:rFonts w:ascii="Times New Roman" w:hAnsi="Times New Roman"/>
          <w:b/>
        </w:rPr>
        <w:t xml:space="preserve">• </w:t>
      </w:r>
      <w:r>
        <w:rPr>
          <w:rFonts w:ascii="Times New Roman" w:hAnsi="Times New Roman"/>
          <w:b/>
          <w:sz w:val="19"/>
        </w:rPr>
        <w:t xml:space="preserve">Anti-Overcrowding Rule: </w:t>
      </w:r>
      <w:r>
        <w:rPr>
          <w:rFonts w:ascii="Times New Roman" w:hAnsi="Times New Roman"/>
          <w:sz w:val="19"/>
        </w:rPr>
        <w:t>A mandatory frying constraint limiting the number of food items submerged per basket to prevent sudden oil temperature drops below 160°C, which causes soggy, oil-logged, and undercooked food.</w:t>
      </w:r>
    </w:p>
    <w:p>
      <w:pPr>
        <w:spacing w:after="30"/>
        <w:ind w:left="360"/>
      </w:pPr>
      <w:r>
        <w:rPr>
          <w:rFonts w:ascii="Times New Roman" w:hAnsi="Times New Roman"/>
          <w:b/>
        </w:rPr>
        <w:t xml:space="preserve">• </w:t>
      </w:r>
      <w:r>
        <w:rPr>
          <w:rFonts w:ascii="Times New Roman" w:hAnsi="Times New Roman"/>
          <w:b/>
          <w:sz w:val="19"/>
        </w:rPr>
        <w:t xml:space="preserve">Dual-Tong Segregation: </w:t>
      </w:r>
      <w:r>
        <w:rPr>
          <w:rFonts w:ascii="Times New Roman" w:hAnsi="Times New Roman"/>
          <w:sz w:val="19"/>
        </w:rPr>
        <w:t>The mandatory physical separation of tongs: Red/Yellow-handled tongs for loading raw breaded meats into fryer baskets, and clean Stainless Steel tongs for extracting fully cooked, lethal items.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Fryer Cooks &amp; Line Handlers: </w:t>
      </w:r>
      <w:r>
        <w:rPr>
          <w:rFonts w:ascii="Times New Roman" w:hAnsi="Times New Roman"/>
          <w:sz w:val="19"/>
        </w:rPr>
        <w:t>Responsible for verifying oil preheating temperatures (170°C–180°C), adhering to batch size limits, probing core temperatures of every fried batch with a calibrated stem thermometer, using segregated raw/cooked tongs, and filtering oil daily.</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skimming frying crumbs during active shifts, executing daily fryer oil filtration, scrubbing fryer vats during oil dumping, and disposing of spent oil into mall grease drums.</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testing and logging frying oil TPM levels twice daily on Form LOG-HOT-01, verifying 100% core lethality entries, calibrating digital stem thermometers, and ordering oil replacement when TPM &gt; 24.0%.</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CCP 3 thermal lethality records monthly, conducting independent oil TPM spot-checks, and inspecting probe calibration validity.</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Fryer Pre-Heating, Oil Level &amp; Anti-Overcrowding Standards</w:t>
      </w:r>
    </w:p>
    <w:p>
      <w:pPr>
        <w:spacing w:after="30"/>
        <w:ind w:left="288"/>
      </w:pPr>
      <w:r>
        <w:rPr>
          <w:rFonts w:ascii="Times New Roman" w:hAnsi="Times New Roman"/>
          <w:b/>
        </w:rPr>
        <w:t xml:space="preserve">1. </w:t>
      </w:r>
      <w:r>
        <w:rPr>
          <w:rFonts w:ascii="Times New Roman" w:hAnsi="Times New Roman"/>
          <w:sz w:val="19"/>
        </w:rPr>
        <w:t>Oil Level Verification: Prior to turning on electric/gas fryers, verify that commercial frying oil (refined palm olein or high-stability canola) is filled exactly between the MIN and MAX fill lines. Never operate fryers with low oil levels (causes oil scorching and heating element burnout).</w:t>
      </w:r>
    </w:p>
    <w:p>
      <w:pPr>
        <w:spacing w:after="30"/>
        <w:ind w:left="288"/>
      </w:pPr>
      <w:r>
        <w:rPr>
          <w:rFonts w:ascii="Times New Roman" w:hAnsi="Times New Roman"/>
          <w:b/>
        </w:rPr>
        <w:t xml:space="preserve">2. </w:t>
      </w:r>
      <w:r>
        <w:rPr>
          <w:rFonts w:ascii="Times New Roman" w:hAnsi="Times New Roman"/>
          <w:sz w:val="19"/>
        </w:rPr>
        <w:t>Standard Frying Operating Temperature: Set fryer thermostat to maintain oil temperature at 170°C to 180°C (338°F to 356°F). Allow oil to preheat fully for 15 minutes before dropping food.</w:t>
      </w:r>
    </w:p>
    <w:p>
      <w:pPr>
        <w:spacing w:after="30"/>
        <w:ind w:left="288"/>
      </w:pPr>
      <w:r>
        <w:rPr>
          <w:rFonts w:ascii="Times New Roman" w:hAnsi="Times New Roman"/>
          <w:b/>
          <w:sz w:val="19"/>
        </w:rPr>
        <w:t>Strict Anti-Overcrowding Limits per Basket:</w:t>
      </w:r>
    </w:p>
    <w:p>
      <w:pPr>
        <w:spacing w:after="30"/>
        <w:ind w:left="576"/>
      </w:pPr>
      <w:r>
        <w:rPr>
          <w:rFonts w:ascii="Times New Roman" w:hAnsi="Times New Roman"/>
          <w:sz w:val="19"/>
        </w:rPr>
        <w:t xml:space="preserve">  • Chicken Karaage: Maximum 6 to 8 pieces (approx. 250g) per basket.</w:t>
      </w:r>
    </w:p>
    <w:p>
      <w:pPr>
        <w:spacing w:after="30"/>
        <w:ind w:left="576"/>
      </w:pPr>
      <w:r>
        <w:rPr>
          <w:rFonts w:ascii="Times New Roman" w:hAnsi="Times New Roman"/>
          <w:sz w:val="19"/>
        </w:rPr>
        <w:t xml:space="preserve">  • Pork Tonkatsu Cutlets: Maximum 1 large loin cutlet (approx. 180–200g) per basket.</w:t>
      </w:r>
    </w:p>
    <w:p>
      <w:pPr>
        <w:spacing w:after="30"/>
        <w:ind w:left="576"/>
      </w:pPr>
      <w:r>
        <w:rPr>
          <w:rFonts w:ascii="Times New Roman" w:hAnsi="Times New Roman"/>
          <w:sz w:val="19"/>
        </w:rPr>
        <w:t xml:space="preserve">  • Ebi Tempura / Calamari: Maximum 4 to 5 pieces per basket.</w:t>
      </w:r>
    </w:p>
    <w:p>
      <w:pPr>
        <w:spacing w:after="30"/>
        <w:ind w:left="576"/>
      </w:pPr>
      <w:r>
        <w:rPr>
          <w:rFonts w:ascii="Times New Roman" w:hAnsi="Times New Roman"/>
          <w:sz w:val="19"/>
        </w:rPr>
        <w:t xml:space="preserve">  • Takoyaki Balls: Maximum 6 to 8 balls per basket.</w:t>
      </w:r>
    </w:p>
    <w:p>
      <w:pPr>
        <w:spacing w:after="30"/>
        <w:ind w:left="288"/>
      </w:pPr>
      <w:r>
        <w:rPr>
          <w:rFonts w:ascii="Times New Roman" w:hAnsi="Times New Roman"/>
          <w:b/>
        </w:rPr>
        <w:t xml:space="preserve">8. </w:t>
      </w:r>
      <w:r>
        <w:rPr>
          <w:rFonts w:ascii="Times New Roman" w:hAnsi="Times New Roman"/>
          <w:sz w:val="19"/>
        </w:rPr>
        <w:t>Why Overcrowding is Banned: Overcrowding causes fryer oil temperature to plummet below 150°C (302°F), creating heavy oil absorption, pale soggy coating, and dangerously undercooked core proteins.</w:t>
      </w:r>
    </w:p>
    <w:p>
      <w:pPr>
        <w:spacing w:before="80" w:after="40"/>
      </w:pPr>
      <w:r>
        <w:rPr>
          <w:rFonts w:ascii="Times New Roman" w:hAnsi="Times New Roman"/>
          <w:b/>
          <w:sz w:val="20"/>
        </w:rPr>
        <w:t>5.2 Thermal Lethality Core Temperature Standards (HACCP CCP 3)</w:t>
      </w:r>
    </w:p>
    <w:p>
      <w:pPr>
        <w:spacing w:after="30"/>
        <w:ind w:left="288"/>
      </w:pPr>
      <w:r>
        <w:rPr>
          <w:rFonts w:ascii="Times New Roman" w:hAnsi="Times New Roman"/>
          <w:b/>
        </w:rPr>
        <w:t xml:space="preserve">1. </w:t>
      </w:r>
      <w:r>
        <w:rPr>
          <w:rFonts w:ascii="Times New Roman" w:hAnsi="Times New Roman"/>
          <w:sz w:val="19"/>
        </w:rPr>
        <w:t>Mandatory Core Temperature Probing: The fryer cook must insert a sanitized digital stem probe thermometer into the geometric center (thickest portion) of at least one piece per fried batch:</w:t>
      </w:r>
    </w:p>
    <w:p>
      <w:pPr>
        <w:spacing w:after="30"/>
        <w:ind w:left="288"/>
      </w:pPr>
      <w:r>
        <w:rPr>
          <w:rFonts w:ascii="Times New Roman" w:hAnsi="Times New Roman"/>
          <w:b/>
          <w:sz w:val="19"/>
        </w:rPr>
        <w:t>Category Critical Lethality Limits (HACCP CCP 3):</w:t>
      </w:r>
    </w:p>
    <w:p>
      <w:pPr>
        <w:spacing w:after="30"/>
        <w:ind w:left="576"/>
      </w:pPr>
      <w:r>
        <w:rPr>
          <w:rFonts w:ascii="Times New Roman" w:hAnsi="Times New Roman"/>
          <w:sz w:val="19"/>
        </w:rPr>
        <w:t xml:space="preserve">  • Raw Poultry (Chicken Karaage): Minimum Core Temp ≥ 74.0°C (165.0°F) held for at least 15 seconds. Frying time: 5 to 6 minutes at 175°C.</w:t>
      </w:r>
    </w:p>
    <w:p>
      <w:pPr>
        <w:spacing w:after="30"/>
        <w:ind w:left="576"/>
      </w:pPr>
      <w:r>
        <w:rPr>
          <w:rFonts w:ascii="Times New Roman" w:hAnsi="Times New Roman"/>
          <w:sz w:val="19"/>
        </w:rPr>
        <w:t xml:space="preserve">  • Raw Whole Pork (Pork Tonkatsu): Minimum Core Temp ≥ 70.0°C (158.0°F) held for at least 15 seconds. Frying time: 6 to 7 minutes at 170°C.</w:t>
      </w:r>
    </w:p>
    <w:p>
      <w:pPr>
        <w:spacing w:after="30"/>
        <w:ind w:left="576"/>
      </w:pPr>
      <w:r>
        <w:rPr>
          <w:rFonts w:ascii="Times New Roman" w:hAnsi="Times New Roman"/>
          <w:sz w:val="19"/>
        </w:rPr>
        <w:t xml:space="preserve">  • Raw Seafood (Ebi Tempura, Calamari Tempura): Minimum Core Temp ≥ 63.0°C (145.0°F) held for at least 15 seconds. Frying time: 2.5 to 3.5 minutes at 180°C.</w:t>
      </w:r>
    </w:p>
    <w:p>
      <w:pPr>
        <w:spacing w:after="30"/>
        <w:ind w:left="576"/>
      </w:pPr>
      <w:r>
        <w:rPr>
          <w:rFonts w:ascii="Times New Roman" w:hAnsi="Times New Roman"/>
          <w:sz w:val="19"/>
        </w:rPr>
        <w:t xml:space="preserve">  • Re-Cooked / Frozen Appetizers (Takoyaki Balls, Frozen Gyoza): Minimum Core Temp ≥ 74.0°C (165.0°F) held for 15 seconds.</w:t>
      </w:r>
    </w:p>
    <w:p>
      <w:pPr>
        <w:spacing w:after="30"/>
        <w:ind w:left="288"/>
      </w:pPr>
      <w:r>
        <w:rPr>
          <w:rFonts w:ascii="Times New Roman" w:hAnsi="Times New Roman"/>
          <w:b/>
        </w:rPr>
        <w:t xml:space="preserve">7. </w:t>
      </w:r>
      <w:r>
        <w:rPr>
          <w:rFonts w:ascii="Times New Roman" w:hAnsi="Times New Roman"/>
          <w:sz w:val="19"/>
        </w:rPr>
        <w:t>Post-Fry Resting &amp; Draining: Rest fried items on an elevated stainless steel wire rack over a drip pan for 60 seconds to allow residual oil drainage and carryover heat equilibration. Never rest fried items on paper towels or cardboard sheets.</w:t>
      </w:r>
    </w:p>
    <w:p>
      <w:pPr>
        <w:spacing w:before="80" w:after="40"/>
      </w:pPr>
      <w:r>
        <w:rPr>
          <w:rFonts w:ascii="Times New Roman" w:hAnsi="Times New Roman"/>
          <w:b/>
          <w:sz w:val="20"/>
        </w:rPr>
        <w:t>5.3 Dual-Tong Segregation &amp; Cross-Contamination Prevention</w:t>
      </w:r>
    </w:p>
    <w:p>
      <w:pPr>
        <w:spacing w:after="30"/>
        <w:ind w:left="288"/>
      </w:pPr>
      <w:r>
        <w:rPr>
          <w:rFonts w:ascii="Times New Roman" w:hAnsi="Times New Roman"/>
          <w:b/>
        </w:rPr>
        <w:t xml:space="preserve">1. </w:t>
      </w:r>
      <w:r>
        <w:rPr>
          <w:rFonts w:ascii="Times New Roman" w:hAnsi="Times New Roman"/>
          <w:sz w:val="19"/>
        </w:rPr>
        <w:t>Raw Loading Tongs (Color-Coded): Use dedicated Yellow tongs (for raw chicken) or Red tongs (for raw pork) exclusively to pick up raw battered proteins and load them into fryer baskets.</w:t>
      </w:r>
    </w:p>
    <w:p>
      <w:pPr>
        <w:spacing w:after="30"/>
        <w:ind w:left="288"/>
      </w:pPr>
      <w:r>
        <w:rPr>
          <w:rFonts w:ascii="Times New Roman" w:hAnsi="Times New Roman"/>
          <w:b/>
        </w:rPr>
        <w:t xml:space="preserve">2. </w:t>
      </w:r>
      <w:r>
        <w:rPr>
          <w:rFonts w:ascii="Times New Roman" w:hAnsi="Times New Roman"/>
          <w:sz w:val="19"/>
        </w:rPr>
        <w:t>Cooked Extraction Tongs (Stainless Steel): Use clean, sanitized stainless steel tongs EXCLUSIVELY to lift cooked items out of fryer baskets and transfer them onto wire draining racks and cutting boards.</w:t>
      </w:r>
    </w:p>
    <w:p>
      <w:pPr>
        <w:spacing w:after="30"/>
        <w:ind w:left="288"/>
      </w:pPr>
      <w:r>
        <w:rPr>
          <w:rFonts w:ascii="Times New Roman" w:hAnsi="Times New Roman"/>
          <w:b/>
        </w:rPr>
        <w:t xml:space="preserve">3. </w:t>
      </w:r>
      <w:r>
        <w:rPr>
          <w:rFonts w:ascii="Times New Roman" w:hAnsi="Times New Roman"/>
          <w:sz w:val="19"/>
        </w:rPr>
        <w:t>Absolute Prohibition: NEVER use the same tongs to load raw chicken and extract cooked karaage. Raw tongs carry viable Salmonella and Campylobacter that immediately re-contaminate cooked surfaces.</w:t>
      </w:r>
    </w:p>
    <w:p>
      <w:pPr>
        <w:spacing w:after="30"/>
        <w:ind w:left="288"/>
      </w:pPr>
      <w:r>
        <w:rPr>
          <w:rFonts w:ascii="Times New Roman" w:hAnsi="Times New Roman"/>
          <w:b/>
        </w:rPr>
        <w:t xml:space="preserve">4. </w:t>
      </w:r>
      <w:r>
        <w:rPr>
          <w:rFonts w:ascii="Times New Roman" w:hAnsi="Times New Roman"/>
          <w:sz w:val="19"/>
        </w:rPr>
        <w:t>Cutting Board Segregation for Fried Meats: Slice cooked Tonkatsu cutlets and Karaage exclusively on dedicated White Ready-to-Eat (RTE) cutting boards. Never slice cooked tonkatsu on red or yellow raw meat boards.</w:t>
      </w:r>
    </w:p>
    <w:p>
      <w:pPr>
        <w:spacing w:before="80" w:after="40"/>
      </w:pPr>
      <w:r>
        <w:rPr>
          <w:rFonts w:ascii="Times New Roman" w:hAnsi="Times New Roman"/>
          <w:b/>
          <w:sz w:val="20"/>
        </w:rPr>
        <w:t>5.4 Frying Oil Quality, TPM Testing &amp; Replacement Critical Limits</w:t>
      </w:r>
    </w:p>
    <w:p>
      <w:pPr>
        <w:spacing w:after="30"/>
        <w:ind w:left="288"/>
      </w:pPr>
      <w:r>
        <w:rPr>
          <w:rFonts w:ascii="Times New Roman" w:hAnsi="Times New Roman"/>
          <w:b/>
        </w:rPr>
        <w:t xml:space="preserve">1. </w:t>
      </w:r>
      <w:r>
        <w:rPr>
          <w:rFonts w:ascii="Times New Roman" w:hAnsi="Times New Roman"/>
          <w:sz w:val="19"/>
        </w:rPr>
        <w:t>Continuous Skimming Protocol: Line cooks must use a fine stainless mesh skimmer to remove loose tempura crumbs (tenkasu) and panko flakes every 30 minutes during service to prevent burnt carbon buildup.</w:t>
      </w:r>
    </w:p>
    <w:p>
      <w:pPr>
        <w:spacing w:after="30"/>
        <w:ind w:left="288"/>
      </w:pPr>
      <w:r>
        <w:rPr>
          <w:rFonts w:ascii="Times New Roman" w:hAnsi="Times New Roman"/>
          <w:b/>
        </w:rPr>
        <w:t xml:space="preserve">2. </w:t>
      </w:r>
      <w:r>
        <w:rPr>
          <w:rFonts w:ascii="Times New Roman" w:hAnsi="Times New Roman"/>
          <w:sz w:val="19"/>
        </w:rPr>
        <w:t>Daily TPM Testing Schedule: Test fryer oil Total Polar Materials (TPM) twice daily: (1) 10:00 AM (Pre-Opening) and (2) 16:00 PM (Shift Handover) using a calibrated digital oil quality tester (e.g., Testo 270) or chemical oil test strips.</w:t>
      </w:r>
    </w:p>
    <w:p>
      <w:pPr>
        <w:spacing w:after="30"/>
        <w:ind w:left="288"/>
      </w:pPr>
      <w:r>
        <w:rPr>
          <w:rFonts w:ascii="Times New Roman" w:hAnsi="Times New Roman"/>
          <w:b/>
        </w:rPr>
        <w:t xml:space="preserve">3. </w:t>
      </w:r>
      <w:r>
        <w:rPr>
          <w:rFonts w:ascii="Times New Roman" w:hAnsi="Times New Roman"/>
          <w:sz w:val="19"/>
        </w:rPr>
        <w:t>Testing Procedure: Immerse the sensor probe into hot oil (160°C–180°C) between the MIN/MAX lines, stir gently for 15 seconds, and record the digital % TPM reading on Form LOG-HOT-01.</w:t>
      </w:r>
    </w:p>
    <w:p>
      <w:pPr>
        <w:spacing w:after="30"/>
        <w:ind w:left="288"/>
      </w:pPr>
      <w:r>
        <w:rPr>
          <w:rFonts w:ascii="Times New Roman" w:hAnsi="Times New Roman"/>
          <w:b/>
          <w:sz w:val="19"/>
        </w:rPr>
        <w:t>TPM Critical Thresholds &amp; Discard Limits:</w:t>
      </w:r>
    </w:p>
    <w:p>
      <w:pPr>
        <w:spacing w:after="30"/>
        <w:ind w:left="576"/>
      </w:pPr>
      <w:r>
        <w:rPr>
          <w:rFonts w:ascii="Times New Roman" w:hAnsi="Times New Roman"/>
          <w:sz w:val="19"/>
        </w:rPr>
        <w:t xml:space="preserve">  • Fresh / High Quality Oil: TPM 0.5% to 15.0%.</w:t>
      </w:r>
    </w:p>
    <w:p>
      <w:pPr>
        <w:spacing w:after="30"/>
        <w:ind w:left="576"/>
      </w:pPr>
      <w:r>
        <w:rPr>
          <w:rFonts w:ascii="Times New Roman" w:hAnsi="Times New Roman"/>
          <w:sz w:val="19"/>
        </w:rPr>
        <w:t xml:space="preserve">  • Medium / Acceptable Oil: TPM 15.5% to 20.0%.</w:t>
      </w:r>
    </w:p>
    <w:p>
      <w:pPr>
        <w:spacing w:after="30"/>
        <w:ind w:left="576"/>
      </w:pPr>
      <w:r>
        <w:rPr>
          <w:rFonts w:ascii="Times New Roman" w:hAnsi="Times New Roman"/>
          <w:sz w:val="19"/>
        </w:rPr>
        <w:t xml:space="preserve">  • Critical Action Limit: TPM 20.5% to 24.0% (Schedule oil change at closing).</w:t>
      </w:r>
    </w:p>
    <w:p>
      <w:pPr>
        <w:spacing w:after="30"/>
        <w:ind w:left="576"/>
      </w:pPr>
      <w:r>
        <w:rPr>
          <w:rFonts w:ascii="Times New Roman" w:hAnsi="Times New Roman"/>
          <w:sz w:val="19"/>
        </w:rPr>
        <w:t xml:space="preserve">  • Mandatory Discard Threshold: TPM &gt; 24.0% (IMMEDIATELY DUMP AND REPLACE OIL; do not use).</w:t>
      </w:r>
    </w:p>
    <w:p>
      <w:pPr>
        <w:spacing w:after="30"/>
        <w:ind w:left="288"/>
      </w:pPr>
      <w:r>
        <w:rPr>
          <w:rFonts w:ascii="Times New Roman" w:hAnsi="Times New Roman"/>
          <w:b/>
        </w:rPr>
        <w:t xml:space="preserve">9. </w:t>
      </w:r>
      <w:r>
        <w:rPr>
          <w:rFonts w:ascii="Times New Roman" w:hAnsi="Times New Roman"/>
          <w:sz w:val="19"/>
        </w:rPr>
        <w:t>Sensory Discard Indicators: Regardless of TPM readings, dump oil immediately if oil smokes heavily below 170°C, develops a dark brown/black appearance, forms thick foamy scum that does not dissipate, or produces a harsh rancid odor.</w:t>
      </w:r>
    </w:p>
    <w:p>
      <w:pPr>
        <w:spacing w:before="80" w:after="40"/>
      </w:pPr>
      <w:r>
        <w:rPr>
          <w:rFonts w:ascii="Times New Roman" w:hAnsi="Times New Roman"/>
          <w:b/>
          <w:sz w:val="20"/>
        </w:rPr>
        <w:t>5.5 Daily Oil Filtration, Fryer Boil-Out &amp; Waste Disposal SSOP</w:t>
      </w:r>
    </w:p>
    <w:p>
      <w:pPr>
        <w:spacing w:after="30"/>
        <w:ind w:left="288"/>
      </w:pPr>
      <w:r>
        <w:rPr>
          <w:rFonts w:ascii="Times New Roman" w:hAnsi="Times New Roman"/>
          <w:b/>
        </w:rPr>
        <w:t xml:space="preserve">1. </w:t>
      </w:r>
      <w:r>
        <w:rPr>
          <w:rFonts w:ascii="Times New Roman" w:hAnsi="Times New Roman"/>
          <w:sz w:val="19"/>
        </w:rPr>
        <w:t>Daily Nightly Filtration: At closing (22:00 PM), allow oil to cool to 100°C–120°C. Drain oil through a heavy-duty stainless filter cone lined with non-woven filter paper into a clean metal bucket to strip microscopic carbonized sediment.</w:t>
      </w:r>
    </w:p>
    <w:p>
      <w:pPr>
        <w:spacing w:after="30"/>
        <w:ind w:left="288"/>
      </w:pPr>
      <w:r>
        <w:rPr>
          <w:rFonts w:ascii="Times New Roman" w:hAnsi="Times New Roman"/>
          <w:b/>
        </w:rPr>
        <w:t xml:space="preserve">2. </w:t>
      </w:r>
      <w:r>
        <w:rPr>
          <w:rFonts w:ascii="Times New Roman" w:hAnsi="Times New Roman"/>
          <w:sz w:val="19"/>
        </w:rPr>
        <w:t>Bi-Weekly Fryer Boil-Out SSOP: Every other Sunday: (a) Drain and discard spent oil into the mall grease disposal drum; (b) Fill vat with potable water and 500 mL industrial alkaline fryer boil-out degreaser; (c) Heat to 90°C (sub-boil) for 20 minutes to strip baked-on grease polymers; (d) Drain, scrub interior walls with a nylon pad, rinse with clean water + 1 cup vinegar (neutralizes alkaline cleaner); (e) Dry thoroughly with paper towels before refilling with fresh oil.</w:t>
      </w:r>
    </w:p>
    <w:p>
      <w:pPr>
        <w:spacing w:after="30"/>
        <w:ind w:left="288"/>
      </w:pPr>
      <w:r>
        <w:rPr>
          <w:rFonts w:ascii="Times New Roman" w:hAnsi="Times New Roman"/>
          <w:b/>
        </w:rPr>
        <w:t xml:space="preserve">3. </w:t>
      </w:r>
      <w:r>
        <w:rPr>
          <w:rFonts w:ascii="Times New Roman" w:hAnsi="Times New Roman"/>
          <w:sz w:val="19"/>
        </w:rPr>
        <w:t>Environmental Waste Disposal: Spent oil must NEVER be poured down kitchen floor drains or mall sewer lines (violates PD 856 and SM Mall EHS criteria). Transfer cold waste oil into designated airtight waste oil storage drums for collection by DENR-accredited recycling contractors.</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Fryer Cook probes and logs internal core temperatures (Karaage &gt;= 74°C, Tonkatsu &gt;= 70°C, Tempura &gt;= 63°C) for 100% of fried batches on Form LOG-HOT-01.</w:t>
      </w:r>
    </w:p>
    <w:p>
      <w:pPr>
        <w:spacing w:after="30"/>
        <w:ind w:left="288"/>
      </w:pPr>
      <w:r>
        <w:rPr>
          <w:rFonts w:ascii="Times New Roman" w:hAnsi="Times New Roman"/>
          <w:b/>
        </w:rPr>
        <w:t xml:space="preserve">2. </w:t>
      </w:r>
      <w:r>
        <w:rPr>
          <w:rFonts w:ascii="Times New Roman" w:hAnsi="Times New Roman"/>
          <w:sz w:val="19"/>
        </w:rPr>
        <w:t>Shift Supervisor tests and logs frying oil TPM percentages twice daily (AM pre-opening and PM shift change) on Form LOG-HOT-01.</w:t>
      </w:r>
    </w:p>
    <w:p>
      <w:pPr>
        <w:spacing w:after="30"/>
        <w:ind w:left="288"/>
      </w:pPr>
      <w:r>
        <w:rPr>
          <w:rFonts w:ascii="Times New Roman" w:hAnsi="Times New Roman"/>
          <w:b/>
        </w:rPr>
        <w:t xml:space="preserve">3. </w:t>
      </w:r>
      <w:r>
        <w:rPr>
          <w:rFonts w:ascii="Times New Roman" w:hAnsi="Times New Roman"/>
          <w:sz w:val="19"/>
        </w:rPr>
        <w:t>Supervisor audits dual-tong segregation (raw vs. cooked tongs) and verifies wire rack drainage during service rushes.</w:t>
      </w:r>
    </w:p>
    <w:p>
      <w:pPr>
        <w:spacing w:after="30"/>
        <w:ind w:left="288"/>
      </w:pPr>
      <w:r>
        <w:rPr>
          <w:rFonts w:ascii="Times New Roman" w:hAnsi="Times New Roman"/>
          <w:b/>
        </w:rPr>
        <w:t xml:space="preserve">4. </w:t>
      </w:r>
      <w:r>
        <w:rPr>
          <w:rFonts w:ascii="Times New Roman" w:hAnsi="Times New Roman"/>
          <w:sz w:val="19"/>
        </w:rPr>
        <w:t>Lead FSCO audits CCP 3 thermal lethality logs weekly and conducts independent oil TPM spot-checks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Core Temperature Below Lethality Limit (&lt; 74°C Poultry / &lt; 70°C Pork / &lt; 63°C Seafood): </w:t>
      </w:r>
      <w:r>
        <w:rPr>
          <w:rFonts w:ascii="Times New Roman" w:hAnsi="Times New Roman"/>
          <w:sz w:val="19"/>
        </w:rPr>
        <w:t>IMMEDIATELY RETURN THE BATCH TO THE FRYER BASKET. Continue frying for an additional 60 to 90 seconds until a sanitized stem probe verifies full internal lethality. Never serve undercooked poultry or pork. Record corrective action on Form LOG-HOT-01.</w:t>
      </w:r>
    </w:p>
    <w:p>
      <w:pPr>
        <w:spacing w:after="30"/>
        <w:ind w:left="360"/>
      </w:pPr>
      <w:r>
        <w:rPr>
          <w:rFonts w:ascii="Times New Roman" w:hAnsi="Times New Roman"/>
          <w:b/>
        </w:rPr>
        <w:t xml:space="preserve">• </w:t>
      </w:r>
      <w:r>
        <w:rPr>
          <w:rFonts w:ascii="Times New Roman" w:hAnsi="Times New Roman"/>
          <w:b/>
          <w:sz w:val="19"/>
        </w:rPr>
        <w:t xml:space="preserve">Frying Oil TPM &gt; 24.0% or Acrid Smoke / Rancidity: </w:t>
      </w:r>
      <w:r>
        <w:rPr>
          <w:rFonts w:ascii="Times New Roman" w:hAnsi="Times New Roman"/>
          <w:sz w:val="19"/>
        </w:rPr>
        <w:t>IMMEDIATELY SHUT DOWN FRYER. Condemn and discard the spent oil into the waste drum. Wash, rinse, and neutralize the fryer vat, dry completely, and refill with 100% fresh commercial cooking oil before resuming frying. Log in Form LOG-DEV-01.</w:t>
      </w:r>
    </w:p>
    <w:p>
      <w:pPr>
        <w:spacing w:after="30"/>
        <w:ind w:left="360"/>
      </w:pPr>
      <w:r>
        <w:rPr>
          <w:rFonts w:ascii="Times New Roman" w:hAnsi="Times New Roman"/>
          <w:b/>
        </w:rPr>
        <w:t xml:space="preserve">• </w:t>
      </w:r>
      <w:r>
        <w:rPr>
          <w:rFonts w:ascii="Times New Roman" w:hAnsi="Times New Roman"/>
          <w:b/>
          <w:sz w:val="19"/>
        </w:rPr>
        <w:t xml:space="preserve">Cross-Contamination via Raw Tongs Touching Cooked Food: </w:t>
      </w:r>
      <w:r>
        <w:rPr>
          <w:rFonts w:ascii="Times New Roman" w:hAnsi="Times New Roman"/>
          <w:sz w:val="19"/>
        </w:rPr>
        <w:t>Immediately condemn and discard the contaminated cooked items. Send tongs to dishwashing for full 3-step sanitation. Re-fry a fresh batch using verified separate tongs.</w:t>
      </w:r>
    </w:p>
    <w:p>
      <w:pPr>
        <w:spacing w:after="30"/>
        <w:ind w:left="360"/>
      </w:pPr>
      <w:r>
        <w:rPr>
          <w:rFonts w:ascii="Times New Roman" w:hAnsi="Times New Roman"/>
          <w:b/>
        </w:rPr>
        <w:t xml:space="preserve">• </w:t>
      </w:r>
      <w:r>
        <w:rPr>
          <w:rFonts w:ascii="Times New Roman" w:hAnsi="Times New Roman"/>
          <w:b/>
          <w:sz w:val="19"/>
        </w:rPr>
        <w:t xml:space="preserve">Fryer Temperature Plummets Below 150°C Due to Overcrowding: </w:t>
      </w:r>
      <w:r>
        <w:rPr>
          <w:rFonts w:ascii="Times New Roman" w:hAnsi="Times New Roman"/>
          <w:sz w:val="19"/>
        </w:rPr>
        <w:t>Immediately reduce batch size. Allow oil to recover to 175°C before dropping the next basket. Extend cooking time on current batch until core probe verifies lethality.</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CCP 3 Audit: </w:t>
      </w:r>
      <w:r>
        <w:rPr>
          <w:rFonts w:ascii="Times New Roman" w:hAnsi="Times New Roman"/>
          <w:sz w:val="19"/>
        </w:rPr>
        <w:t>Lead FSCO reviews Form LOG-HOT-01 monthly to verify 100% thermal lethality compliance and zero unaddressed TPM failures.</w:t>
      </w:r>
    </w:p>
    <w:p>
      <w:pPr>
        <w:spacing w:after="30"/>
        <w:ind w:left="360"/>
      </w:pPr>
      <w:r>
        <w:rPr>
          <w:rFonts w:ascii="Times New Roman" w:hAnsi="Times New Roman"/>
          <w:b/>
        </w:rPr>
        <w:t xml:space="preserve">• </w:t>
      </w:r>
      <w:r>
        <w:rPr>
          <w:rFonts w:ascii="Times New Roman" w:hAnsi="Times New Roman"/>
          <w:b/>
          <w:sz w:val="19"/>
        </w:rPr>
        <w:t xml:space="preserve">Thermometer &amp; Oil Tester Calibration: </w:t>
      </w:r>
      <w:r>
        <w:rPr>
          <w:rFonts w:ascii="Times New Roman" w:hAnsi="Times New Roman"/>
          <w:sz w:val="19"/>
        </w:rPr>
        <w:t>Supervisor verifies thermometer calibration weekly on Form LOG-CAL-01 (ice slurry 0°C +/- 1°C) and verifies digital oil tester calibration with reference oil.</w:t>
      </w:r>
    </w:p>
    <w:p>
      <w:pPr>
        <w:spacing w:after="30"/>
        <w:ind w:left="360"/>
      </w:pPr>
      <w:r>
        <w:rPr>
          <w:rFonts w:ascii="Times New Roman" w:hAnsi="Times New Roman"/>
          <w:b/>
        </w:rPr>
        <w:t xml:space="preserve">• </w:t>
      </w:r>
      <w:r>
        <w:rPr>
          <w:rFonts w:ascii="Times New Roman" w:hAnsi="Times New Roman"/>
          <w:b/>
          <w:sz w:val="19"/>
        </w:rPr>
        <w:t xml:space="preserve">DENR Waste Oil Manifest Review: </w:t>
      </w:r>
      <w:r>
        <w:rPr>
          <w:rFonts w:ascii="Times New Roman" w:hAnsi="Times New Roman"/>
          <w:sz w:val="19"/>
        </w:rPr>
        <w:t>FSCO audits spent cooking oil hauling manifests quarterly to ensure 100% legal recycling compliance.</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LOG-HOT-01: </w:t>
      </w:r>
      <w:r>
        <w:rPr>
          <w:rFonts w:ascii="Times New Roman" w:hAnsi="Times New Roman"/>
          <w:sz w:val="19"/>
        </w:rPr>
        <w:t>Daily Deep-Frying Thermal Lethality (CCP 3) &amp; Fryer Oil TPM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LOG-CAL-01: </w:t>
      </w:r>
      <w:r>
        <w:rPr>
          <w:rFonts w:ascii="Times New Roman" w:hAnsi="Times New Roman"/>
          <w:sz w:val="19"/>
        </w:rPr>
        <w:t>Weekly Digital Stem Thermometer Ice-Slurry Calibration Record</w:t>
      </w:r>
    </w:p>
    <w:p>
      <w:pPr>
        <w:spacing w:after="30"/>
        <w:ind w:left="360"/>
      </w:pPr>
      <w:r>
        <w:rPr>
          <w:rFonts w:ascii="Times New Roman" w:hAnsi="Times New Roman"/>
          <w:b/>
        </w:rPr>
        <w:t xml:space="preserve">• </w:t>
      </w:r>
      <w:r>
        <w:rPr>
          <w:rFonts w:ascii="Times New Roman" w:hAnsi="Times New Roman"/>
          <w:b/>
          <w:sz w:val="19"/>
        </w:rPr>
        <w:t xml:space="preserve">Waste Oil Hauling Manifests: </w:t>
      </w:r>
      <w:r>
        <w:rPr>
          <w:rFonts w:ascii="Times New Roman" w:hAnsi="Times New Roman"/>
          <w:sz w:val="19"/>
        </w:rPr>
        <w:t>DENR-accredited recycling contractor collection receipts.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LOG-HOT-01: DAILY DEEP-FRYING LETHALITY (CCP 3) &amp; OIL TPM LOG</w:t>
      </w:r>
    </w:p>
    <w:p>
      <w:pPr>
        <w:spacing w:after="80"/>
      </w:pPr>
      <w:r>
        <w:rPr>
          <w:rFonts w:ascii="Times New Roman" w:hAnsi="Times New Roman"/>
          <w:b/>
          <w:sz w:val="18"/>
        </w:rPr>
        <w:t xml:space="preserve">Instructions: </w:t>
      </w:r>
      <w:r>
        <w:rPr>
          <w:rFonts w:ascii="Times New Roman" w:hAnsi="Times New Roman"/>
          <w:sz w:val="18"/>
        </w:rPr>
        <w:t>Probe internal core temp of every fried batch (Karaage &gt;= 74°C, Tonkatsu &gt;= 70°C, Tempura &gt;= 63°C). Record 2x daily oil TPM readings (&lt;= 24.0%). Verify dual-tong segregation and crumb skimming.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Menu Item / Batch Description</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Fryer Oil Temp (170-180°C)</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Probed Core Temp (°C / °F)</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Oil TPM % (&lt;= 24.0%)</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Dual Tongs Used? (P/F)</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Cook Sign</w:t>
            </w: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