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6" w:space="0" w:color="1B365D"/>
          <w:bottom w:val="single" w:sz="6" w:space="0" w:color="1B365D"/>
          <w:left w:val="single" w:sz="6" w:space="0" w:color="1B365D"/>
          <w:right w:val="single" w:sz="6" w:space="0" w:color="1B365D"/>
          <w:insideH w:val="single" w:sz="6" w:space="0" w:color="1B365D"/>
          <w:insideV w:val="single" w:sz="6" w:space="0" w:color="1B365D"/>
        </w:tblBorders>
      </w:tblPr>
      <w:tblGrid>
        <w:gridCol w:w="3456"/>
        <w:gridCol w:w="3456"/>
        <w:gridCol w:w="3456"/>
      </w:tblGrid>
      <w:tr>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QUALITY MANAGEMENT SYSTEM</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Standard Operating Procedure (SOP)</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Doc Code: SOP-MGT-01</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Document Title: SOP-MGT-01 – Non-Conformance, 5-Whys Root Cause Analysis &amp; CAPA Resolution Protocol</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Revision No: 01</w:t>
              <w:br/>
              <w:t>Effective Date: 08/30/2026</w:t>
            </w:r>
          </w:p>
        </w:tc>
      </w:tr>
      <w:tr>
        <w:tc>
          <w:tcPr>
            <w:tcW w:type="dxa" w:w="6912"/>
            <w:gridSpan w:val="2"/>
            <w:shd w:fill="FFFFFF"/>
            <w:tcMar>
              <w:top w:w="50" w:type="dxa"/>
              <w:bottom w:w="50" w:type="dxa"/>
              <w:left w:w="70" w:type="dxa"/>
              <w:right w:w="70" w:type="dxa"/>
            </w:tcMar>
            <w:shd w:fill="FFFFFF"/>
            <w:tcMar>
              <w:top w:w="50" w:type="dxa"/>
              <w:bottom w:w="50" w:type="dxa"/>
              <w:left w:w="70" w:type="dxa"/>
              <w:right w:w="70" w:type="dxa"/>
            </w:tcMar>
          </w:tcPr>
          <w:p>
            <w:pPr>
              <w:spacing w:after="0" w:before="0"/>
            </w:pPr>
            <w:r>
              <w:rPr>
                <w:rFonts w:ascii="Times New Roman" w:hAnsi="Times New Roman"/>
                <w:b/>
                <w:color w:val="1B365D"/>
                <w:sz w:val="18"/>
              </w:rPr>
              <w:t>Establishment: Suteki Japanese Restaurant, SM Dasmariñas, Cavite</w:t>
            </w:r>
          </w:p>
        </w:tc>
        <w:tc>
          <w:tcPr>
            <w:tcW w:type="dxa" w:w="3456"/>
            <w:shd w:fill="F2F4F7"/>
            <w:tcMar>
              <w:top w:w="50" w:type="dxa"/>
              <w:bottom w:w="50" w:type="dxa"/>
              <w:left w:w="70" w:type="dxa"/>
              <w:right w:w="70" w:type="dxa"/>
            </w:tcMar>
          </w:tcPr>
          <w:p>
            <w:pPr>
              <w:spacing w:after="0" w:before="0"/>
            </w:pPr>
            <w:r>
              <w:rPr>
                <w:rFonts w:ascii="Times New Roman" w:hAnsi="Times New Roman"/>
                <w:b/>
                <w:color w:val="1B365D"/>
                <w:sz w:val="18"/>
              </w:rPr>
              <w:t>Page: 1 of 3</w:t>
            </w:r>
          </w:p>
        </w:tc>
      </w:tr>
    </w:tbl>
    <w:p>
      <w:pPr>
        <w:spacing w:before="80" w:after="80"/>
      </w:pPr>
    </w:p>
    <w:p>
      <w:pPr>
        <w:spacing w:before="140" w:after="40"/>
      </w:pPr>
      <w:r>
        <w:rPr>
          <w:rFonts w:ascii="Times New Roman" w:hAnsi="Times New Roman"/>
          <w:b/>
          <w:color w:val="1B365D"/>
          <w:sz w:val="22"/>
        </w:rPr>
        <w:t>1. Purpose</w:t>
      </w:r>
    </w:p>
    <w:p>
      <w:pPr>
        <w:spacing w:after="50"/>
      </w:pPr>
      <w:r>
        <w:rPr>
          <w:rFonts w:ascii="Times New Roman" w:hAnsi="Times New Roman"/>
          <w:sz w:val="19"/>
        </w:rPr>
        <w:t>The purpose of this standard operating procedure is to establish a rigorous, standardized operational protocol for identifying, logging, isolating, investigating through 5-Whys Root Cause Analysis, resolving via Corrective and Preventive Actions (CAPA), and verifying non-conformances across the entire restaurant. Recurring food safety breaches and operational service bottlenecks—specifically unhygienic bare-hand/unwashed glove contact during Smoked Salmon Maki assembly (Audit Finding 1.1), unmanaged prep delays exceeding the 15-minute benchmark (Audit Finding 1.2), cold-chain temperature abuse, cooking lethality failures, and sanitation lapses—cannot be permanently resolved through superficial reprimands. This procedure establishes a systemic management architecture requiring mandatory immediate containment, deep root-cause identification, time-bound corrective action implementation (max 7 days for critical hazards), and formal 30-day post-closure verification audits, ensuring full compliance with Republic Act No. 10611, Presidential Decree No. 856, and ISO 22000:2018 Section 8.9.</w:t>
      </w:r>
    </w:p>
    <w:p>
      <w:pPr>
        <w:spacing w:before="140" w:after="40"/>
      </w:pPr>
      <w:r>
        <w:rPr>
          <w:rFonts w:ascii="Times New Roman" w:hAnsi="Times New Roman"/>
          <w:b/>
          <w:color w:val="1B365D"/>
          <w:sz w:val="22"/>
        </w:rPr>
        <w:t>2. Scope</w:t>
      </w:r>
    </w:p>
    <w:p>
      <w:pPr>
        <w:spacing w:after="50"/>
      </w:pPr>
      <w:r>
        <w:rPr>
          <w:rFonts w:ascii="Times New Roman" w:hAnsi="Times New Roman"/>
          <w:sz w:val="19"/>
        </w:rPr>
        <w:t>This Standard Operating Procedure applies universally to all critical non-conformances, HACCP Critical Control Point (CCP) deviations (CCP 1 Intake, CCP 2 Shari Acidification/TPHC, CCP 3 Fryer Lethality, CCP 4 Broth Reheating), Prerequisite Program (PRP) and SSOP failures, customer food safety/quality complaints, food safety audit non-compliances, and third-party inspection findings at Suteki Japanese Restaurant, SM Dasmariñas, Cavite.</w:t>
      </w:r>
    </w:p>
    <w:p>
      <w:pPr>
        <w:spacing w:before="140" w:after="40"/>
      </w:pPr>
      <w:r>
        <w:rPr>
          <w:rFonts w:ascii="Times New Roman" w:hAnsi="Times New Roman"/>
          <w:b/>
          <w:color w:val="1B365D"/>
          <w:sz w:val="22"/>
        </w:rPr>
        <w:t>3. Definitions</w:t>
      </w:r>
    </w:p>
    <w:p>
      <w:pPr>
        <w:spacing w:after="30"/>
        <w:ind w:left="360"/>
      </w:pPr>
      <w:r>
        <w:rPr>
          <w:rFonts w:ascii="Times New Roman" w:hAnsi="Times New Roman"/>
          <w:b/>
        </w:rPr>
        <w:t xml:space="preserve">• </w:t>
      </w:r>
      <w:r>
        <w:rPr>
          <w:rFonts w:ascii="Times New Roman" w:hAnsi="Times New Roman"/>
          <w:b/>
          <w:sz w:val="19"/>
        </w:rPr>
        <w:t xml:space="preserve">Non-Conformance (NC): </w:t>
      </w:r>
      <w:r>
        <w:rPr>
          <w:rFonts w:ascii="Times New Roman" w:hAnsi="Times New Roman"/>
          <w:sz w:val="19"/>
        </w:rPr>
        <w:t>Any operational deviation, failure, or non-fulfillment of a specified requirement, critical limit, regulatory mandate, PRP standard, or QMS standard operating procedure.</w:t>
      </w:r>
    </w:p>
    <w:p>
      <w:pPr>
        <w:spacing w:after="30"/>
        <w:ind w:left="360"/>
      </w:pPr>
      <w:r>
        <w:rPr>
          <w:rFonts w:ascii="Times New Roman" w:hAnsi="Times New Roman"/>
          <w:b/>
        </w:rPr>
        <w:t xml:space="preserve">• </w:t>
      </w:r>
      <w:r>
        <w:rPr>
          <w:rFonts w:ascii="Times New Roman" w:hAnsi="Times New Roman"/>
          <w:b/>
          <w:sz w:val="19"/>
        </w:rPr>
        <w:t xml:space="preserve">Immediate Containment / Correction: </w:t>
      </w:r>
      <w:r>
        <w:rPr>
          <w:rFonts w:ascii="Times New Roman" w:hAnsi="Times New Roman"/>
          <w:sz w:val="19"/>
        </w:rPr>
        <w:t>Direct physical action executed immediately upon deviation discovery to eliminate the immediate hazard and prevent compromised or pathogen-bearing food from reaching customers.</w:t>
      </w:r>
    </w:p>
    <w:p>
      <w:pPr>
        <w:spacing w:after="30"/>
        <w:ind w:left="360"/>
      </w:pPr>
      <w:r>
        <w:rPr>
          <w:rFonts w:ascii="Times New Roman" w:hAnsi="Times New Roman"/>
          <w:b/>
        </w:rPr>
        <w:t xml:space="preserve">• </w:t>
      </w:r>
      <w:r>
        <w:rPr>
          <w:rFonts w:ascii="Times New Roman" w:hAnsi="Times New Roman"/>
          <w:b/>
          <w:sz w:val="19"/>
        </w:rPr>
        <w:t xml:space="preserve">5-Whys Root Cause Analysis: </w:t>
      </w:r>
      <w:r>
        <w:rPr>
          <w:rFonts w:ascii="Times New Roman" w:hAnsi="Times New Roman"/>
          <w:sz w:val="19"/>
        </w:rPr>
        <w:t>A structured, iterative problem-solving methodology that drills beneath superficial human error by asking 'Why?' five consecutive times until the underlying systemic, procedural, training, or equipment root cause is uncovered.</w:t>
      </w:r>
    </w:p>
    <w:p>
      <w:pPr>
        <w:spacing w:after="30"/>
        <w:ind w:left="360"/>
      </w:pPr>
      <w:r>
        <w:rPr>
          <w:rFonts w:ascii="Times New Roman" w:hAnsi="Times New Roman"/>
          <w:b/>
        </w:rPr>
        <w:t xml:space="preserve">• </w:t>
      </w:r>
      <w:r>
        <w:rPr>
          <w:rFonts w:ascii="Times New Roman" w:hAnsi="Times New Roman"/>
          <w:b/>
          <w:sz w:val="19"/>
        </w:rPr>
        <w:t xml:space="preserve">Corrective Action (CA): </w:t>
      </w:r>
      <w:r>
        <w:rPr>
          <w:rFonts w:ascii="Times New Roman" w:hAnsi="Times New Roman"/>
          <w:sz w:val="19"/>
        </w:rPr>
        <w:t>Action implemented to eliminate the root cause of an identified non-conformance to permanently prevent its recurrence.</w:t>
      </w:r>
    </w:p>
    <w:p>
      <w:pPr>
        <w:spacing w:after="30"/>
        <w:ind w:left="360"/>
      </w:pPr>
      <w:r>
        <w:rPr>
          <w:rFonts w:ascii="Times New Roman" w:hAnsi="Times New Roman"/>
          <w:b/>
        </w:rPr>
        <w:t xml:space="preserve">• </w:t>
      </w:r>
      <w:r>
        <w:rPr>
          <w:rFonts w:ascii="Times New Roman" w:hAnsi="Times New Roman"/>
          <w:b/>
          <w:sz w:val="19"/>
        </w:rPr>
        <w:t xml:space="preserve">Preventive Action (PA): </w:t>
      </w:r>
      <w:r>
        <w:rPr>
          <w:rFonts w:ascii="Times New Roman" w:hAnsi="Times New Roman"/>
          <w:sz w:val="19"/>
        </w:rPr>
        <w:t>Proactive procedural, engineering, or structural modifications executed to eliminate the potential cause of an anticipated non-conformance before occurrence.</w:t>
      </w:r>
    </w:p>
    <w:p>
      <w:pPr>
        <w:spacing w:after="30"/>
        <w:ind w:left="360"/>
      </w:pPr>
      <w:r>
        <w:rPr>
          <w:rFonts w:ascii="Times New Roman" w:hAnsi="Times New Roman"/>
          <w:b/>
        </w:rPr>
        <w:t xml:space="preserve">• </w:t>
      </w:r>
      <w:r>
        <w:rPr>
          <w:rFonts w:ascii="Times New Roman" w:hAnsi="Times New Roman"/>
          <w:b/>
          <w:sz w:val="19"/>
        </w:rPr>
        <w:t xml:space="preserve">CAPA Resolution &amp; Verification: </w:t>
      </w:r>
      <w:r>
        <w:rPr>
          <w:rFonts w:ascii="Times New Roman" w:hAnsi="Times New Roman"/>
          <w:sz w:val="19"/>
        </w:rPr>
        <w:t>The formal administrative and practical closure of a Non-Conformance Report (NCR) following verified implementation and a mandatory 30-day post-closure effectiveness audit by the Lead FSCO.</w:t>
      </w:r>
    </w:p>
    <w:p>
      <w:pPr>
        <w:spacing w:before="140" w:after="40"/>
      </w:pPr>
      <w:r>
        <w:rPr>
          <w:rFonts w:ascii="Times New Roman" w:hAnsi="Times New Roman"/>
          <w:b/>
          <w:color w:val="1B365D"/>
          <w:sz w:val="22"/>
        </w:rPr>
        <w:t>4. Responsibility</w:t>
      </w:r>
    </w:p>
    <w:p>
      <w:pPr>
        <w:spacing w:after="30"/>
        <w:ind w:left="360"/>
      </w:pPr>
      <w:r>
        <w:rPr>
          <w:rFonts w:ascii="Times New Roman" w:hAnsi="Times New Roman"/>
          <w:b/>
        </w:rPr>
        <w:t xml:space="preserve">• </w:t>
      </w:r>
      <w:r>
        <w:rPr>
          <w:rFonts w:ascii="Times New Roman" w:hAnsi="Times New Roman"/>
          <w:b/>
          <w:sz w:val="19"/>
        </w:rPr>
        <w:t xml:space="preserve">All Kitchen &amp; FOH Staff: </w:t>
      </w:r>
      <w:r>
        <w:rPr>
          <w:rFonts w:ascii="Times New Roman" w:hAnsi="Times New Roman"/>
          <w:sz w:val="19"/>
        </w:rPr>
        <w:t>Responsible for reporting any observed non-conformance, CCP breach, or deviation immediately to the supervisor, halting affected food processes, and participating in 5-Whys investigations.</w:t>
      </w:r>
    </w:p>
    <w:p>
      <w:pPr>
        <w:spacing w:after="30"/>
        <w:ind w:left="360"/>
      </w:pPr>
      <w:r>
        <w:rPr>
          <w:rFonts w:ascii="Times New Roman" w:hAnsi="Times New Roman"/>
          <w:b/>
        </w:rPr>
        <w:t xml:space="preserve">• </w:t>
      </w:r>
      <w:r>
        <w:rPr>
          <w:rFonts w:ascii="Times New Roman" w:hAnsi="Times New Roman"/>
          <w:b/>
          <w:sz w:val="19"/>
        </w:rPr>
        <w:t xml:space="preserve">Shift Supervisor / Head Cook: </w:t>
      </w:r>
      <w:r>
        <w:rPr>
          <w:rFonts w:ascii="Times New Roman" w:hAnsi="Times New Roman"/>
          <w:sz w:val="19"/>
        </w:rPr>
        <w:t>Responsible for executing immediate product containment/condemnation, initiating Form LOG-MGT-01 (NCR), logging deviations on Form LOG-DEV-01, and leading the initial 5-Whys investigation within 24 hours.</w:t>
      </w:r>
    </w:p>
    <w:p>
      <w:pPr>
        <w:spacing w:after="30"/>
        <w:ind w:left="360"/>
      </w:pPr>
      <w:r>
        <w:rPr>
          <w:rFonts w:ascii="Times New Roman" w:hAnsi="Times New Roman"/>
          <w:b/>
        </w:rPr>
        <w:t xml:space="preserve">• </w:t>
      </w:r>
      <w:r>
        <w:rPr>
          <w:rFonts w:ascii="Times New Roman" w:hAnsi="Times New Roman"/>
          <w:b/>
          <w:sz w:val="19"/>
        </w:rPr>
        <w:t xml:space="preserve">Lead FSCO: </w:t>
      </w:r>
      <w:r>
        <w:rPr>
          <w:rFonts w:ascii="Times New Roman" w:hAnsi="Times New Roman"/>
          <w:sz w:val="19"/>
        </w:rPr>
        <w:t>Responsible for managing the overall CAPA system, reviewing and approving 5-Whys analyses, validating corrective action plans, tracking 7-day/14-day implementation deadlines, conducting mandatory 30-day post-closure verification audits, and reporting monthly trends.</w:t>
      </w:r>
    </w:p>
    <w:p>
      <w:pPr>
        <w:spacing w:after="30"/>
        <w:ind w:left="360"/>
      </w:pPr>
      <w:r>
        <w:rPr>
          <w:rFonts w:ascii="Times New Roman" w:hAnsi="Times New Roman"/>
          <w:b/>
        </w:rPr>
        <w:t xml:space="preserve">• </w:t>
      </w:r>
      <w:r>
        <w:rPr>
          <w:rFonts w:ascii="Times New Roman" w:hAnsi="Times New Roman"/>
          <w:b/>
          <w:sz w:val="19"/>
        </w:rPr>
        <w:t xml:space="preserve">Store Operations Manager: </w:t>
      </w:r>
      <w:r>
        <w:rPr>
          <w:rFonts w:ascii="Times New Roman" w:hAnsi="Times New Roman"/>
          <w:sz w:val="19"/>
        </w:rPr>
        <w:t>Responsible for approving necessary equipment, training, or capital expenditures required for CAPA execution, enforcing staff accountability, and conducting quarterly management reviews.</w:t>
      </w:r>
    </w:p>
    <w:p>
      <w:pPr>
        <w:spacing w:before="140" w:after="40"/>
      </w:pPr>
      <w:r>
        <w:rPr>
          <w:rFonts w:ascii="Times New Roman" w:hAnsi="Times New Roman"/>
          <w:b/>
          <w:color w:val="1B365D"/>
          <w:sz w:val="22"/>
        </w:rPr>
        <w:t>5. Procedure</w:t>
      </w:r>
    </w:p>
    <w:p>
      <w:pPr>
        <w:spacing w:before="80" w:after="40"/>
      </w:pPr>
      <w:r>
        <w:rPr>
          <w:rFonts w:ascii="Times New Roman" w:hAnsi="Times New Roman"/>
          <w:b/>
          <w:sz w:val="20"/>
        </w:rPr>
        <w:t>5.1 Non-Conformance Identification, Immediate Containment &amp; Product Quarantine</w:t>
      </w:r>
    </w:p>
    <w:p>
      <w:pPr>
        <w:spacing w:after="30"/>
        <w:ind w:left="288"/>
      </w:pPr>
      <w:r>
        <w:rPr>
          <w:rFonts w:ascii="Times New Roman" w:hAnsi="Times New Roman"/>
          <w:b/>
        </w:rPr>
        <w:t xml:space="preserve">1. </w:t>
      </w:r>
      <w:r>
        <w:rPr>
          <w:rFonts w:ascii="Times New Roman" w:hAnsi="Times New Roman"/>
          <w:sz w:val="19"/>
        </w:rPr>
        <w:t>Identification Triggers: A Non-Conformance must be declared immediately upon: (a) CCP Critical Limit breach; (b) Temperature abuse during storage/thawing; (c) Unhygienic bare-hand/glove contact on RTE foods; (d) Food prep delay &gt; 15 minutes; (e) Sanitizer chemical titration failure; (f) Customer foreign body/illness complaint; (g) Audit non-compliance finding.</w:t>
      </w:r>
    </w:p>
    <w:p>
      <w:pPr>
        <w:spacing w:after="30"/>
        <w:ind w:left="288"/>
      </w:pPr>
      <w:r>
        <w:rPr>
          <w:rFonts w:ascii="Times New Roman" w:hAnsi="Times New Roman"/>
          <w:b/>
          <w:sz w:val="19"/>
        </w:rPr>
        <w:t>Mandatory 4-Step Immediate Containment Protocol (Within 15 Minutes):</w:t>
      </w:r>
    </w:p>
    <w:p>
      <w:pPr>
        <w:spacing w:after="30"/>
        <w:ind w:left="576"/>
      </w:pPr>
      <w:r>
        <w:rPr>
          <w:rFonts w:ascii="Times New Roman" w:hAnsi="Times New Roman"/>
          <w:sz w:val="19"/>
        </w:rPr>
        <w:t xml:space="preserve">  1. Halt Process: Immediately halt the active food preparation, cooking, or service line in the affected zone.</w:t>
      </w:r>
    </w:p>
    <w:p>
      <w:pPr>
        <w:spacing w:after="30"/>
        <w:ind w:left="576"/>
      </w:pPr>
      <w:r>
        <w:rPr>
          <w:rFonts w:ascii="Times New Roman" w:hAnsi="Times New Roman"/>
          <w:sz w:val="19"/>
        </w:rPr>
        <w:t xml:space="preserve">  2. Quarantine / Condemn Product: Tag all affected ingredients with a high-visibility red 'FOOD SAFETY HOLD - DO NOT USE / CONDEMNED' label. Physically isolate in a dedicated quarantine tub inside the Right Chiller (or condemn directly into the waste bin if biohazard is irreversible, such as bare-hand contact on RTE Maki).</w:t>
      </w:r>
    </w:p>
    <w:p>
      <w:pPr>
        <w:spacing w:after="30"/>
        <w:ind w:left="576"/>
      </w:pPr>
      <w:r>
        <w:rPr>
          <w:rFonts w:ascii="Times New Roman" w:hAnsi="Times New Roman"/>
          <w:sz w:val="19"/>
        </w:rPr>
        <w:t xml:space="preserve">  3. Inform Supervision: Notify Shift Supervisor and Lead FSCO immediately within 15 minutes.</w:t>
      </w:r>
    </w:p>
    <w:p>
      <w:pPr>
        <w:spacing w:after="30"/>
        <w:ind w:left="576"/>
      </w:pPr>
      <w:r>
        <w:rPr>
          <w:rFonts w:ascii="Times New Roman" w:hAnsi="Times New Roman"/>
          <w:sz w:val="19"/>
        </w:rPr>
        <w:t xml:space="preserve">  4. Master Log Entry: Record date, time, station, immediate containment action, and responsible personnel on Form LOG-DEV-01.</w:t>
      </w:r>
    </w:p>
    <w:p>
      <w:pPr>
        <w:spacing w:before="80" w:after="40"/>
      </w:pPr>
      <w:r>
        <w:rPr>
          <w:rFonts w:ascii="Times New Roman" w:hAnsi="Times New Roman"/>
          <w:b/>
          <w:sz w:val="20"/>
        </w:rPr>
        <w:t>5.2 The 5-Whys Root Cause Analysis Methodology &amp; Practical Applications</w:t>
      </w:r>
    </w:p>
    <w:p>
      <w:pPr>
        <w:spacing w:after="30"/>
        <w:ind w:left="288"/>
      </w:pPr>
      <w:r>
        <w:rPr>
          <w:rFonts w:ascii="Times New Roman" w:hAnsi="Times New Roman"/>
          <w:b/>
        </w:rPr>
        <w:t xml:space="preserve">1. </w:t>
      </w:r>
      <w:r>
        <w:rPr>
          <w:rFonts w:ascii="Times New Roman" w:hAnsi="Times New Roman"/>
          <w:sz w:val="19"/>
        </w:rPr>
        <w:t>5-Whys Investigation Mandate: Within 24 hours of deviation occurrence, the Lead FSCO, Shift Supervisor, and station cook must convene to conduct a structured 5-Whys root-cause inquiry on Form LOG-MGT-01.</w:t>
      </w:r>
    </w:p>
    <w:p>
      <w:pPr>
        <w:spacing w:after="30"/>
        <w:ind w:left="288"/>
      </w:pPr>
      <w:r>
        <w:rPr>
          <w:rFonts w:ascii="Times New Roman" w:hAnsi="Times New Roman"/>
          <w:b/>
        </w:rPr>
        <w:t xml:space="preserve">2. </w:t>
      </w:r>
      <w:r>
        <w:rPr>
          <w:rFonts w:ascii="Times New Roman" w:hAnsi="Times New Roman"/>
          <w:sz w:val="19"/>
        </w:rPr>
        <w:t>Prohibition of Superficial Blame: The investigation must NEVER conclude with superficial operator blame (e.g., 'worker was careless'). The inquiry must drill down into training, procedures, tools, checklists, and management systems.</w:t>
      </w:r>
    </w:p>
    <w:p>
      <w:pPr>
        <w:spacing w:after="30"/>
        <w:ind w:left="288"/>
      </w:pPr>
      <w:r>
        <w:rPr>
          <w:rFonts w:ascii="Times New Roman" w:hAnsi="Times New Roman"/>
          <w:b/>
          <w:sz w:val="19"/>
        </w:rPr>
        <w:t>Practical Case 1: Resolution of Audit Finding 1.1 (Bare-Hand Contact on Smoked Salmon Maki):</w:t>
      </w:r>
    </w:p>
    <w:p>
      <w:pPr>
        <w:spacing w:after="30"/>
        <w:ind w:left="576"/>
      </w:pPr>
      <w:r>
        <w:rPr>
          <w:rFonts w:ascii="Times New Roman" w:hAnsi="Times New Roman"/>
          <w:sz w:val="19"/>
        </w:rPr>
        <w:t xml:space="preserve">  • Why 1: Why did the sushi chef touch smoked salmon with bare hands? -&gt; Chef removed torn gloves and continued rolling without re-gloving.</w:t>
      </w:r>
    </w:p>
    <w:p>
      <w:pPr>
        <w:spacing w:after="30"/>
        <w:ind w:left="576"/>
      </w:pPr>
      <w:r>
        <w:rPr>
          <w:rFonts w:ascii="Times New Roman" w:hAnsi="Times New Roman"/>
          <w:sz w:val="19"/>
        </w:rPr>
        <w:t xml:space="preserve">  • Why 2: Why didn't the chef don fresh gloves immediately? -&gt; The wall-mounted glove dispenser at the sushi station was empty.</w:t>
      </w:r>
    </w:p>
    <w:p>
      <w:pPr>
        <w:spacing w:after="30"/>
        <w:ind w:left="576"/>
      </w:pPr>
      <w:r>
        <w:rPr>
          <w:rFonts w:ascii="Times New Roman" w:hAnsi="Times New Roman"/>
          <w:sz w:val="19"/>
        </w:rPr>
        <w:t xml:space="preserve">  • Why 3: Why was the glove box empty during rush? -&gt; No pre-shift opening inventory check was conducted to restock supplies.</w:t>
      </w:r>
    </w:p>
    <w:p>
      <w:pPr>
        <w:spacing w:after="30"/>
        <w:ind w:left="576"/>
      </w:pPr>
      <w:r>
        <w:rPr>
          <w:rFonts w:ascii="Times New Roman" w:hAnsi="Times New Roman"/>
          <w:sz w:val="19"/>
        </w:rPr>
        <w:t xml:space="preserve">  • Why 4: Why was no opening check conducted? -&gt; Hand hygiene supplies were not itemized on the morning opening checklist.</w:t>
      </w:r>
    </w:p>
    <w:p>
      <w:pPr>
        <w:spacing w:after="30"/>
        <w:ind w:left="576"/>
      </w:pPr>
      <w:r>
        <w:rPr>
          <w:rFonts w:ascii="Times New Roman" w:hAnsi="Times New Roman"/>
          <w:sz w:val="19"/>
        </w:rPr>
        <w:t xml:space="preserve">  • Why 5 (Root Cause): Systemic absence of a mandatory pre-shift hand hygiene station checklist and lack of formal glove transition SOP training (Resolved via SOP-SUS-02 and SOP-SUS-05).</w:t>
      </w:r>
    </w:p>
    <w:p>
      <w:pPr>
        <w:spacing w:after="30"/>
        <w:ind w:left="288"/>
      </w:pPr>
      <w:r>
        <w:rPr>
          <w:rFonts w:ascii="Times New Roman" w:hAnsi="Times New Roman"/>
          <w:b/>
          <w:sz w:val="19"/>
        </w:rPr>
        <w:t>Practical Case 2: Resolution of Audit Finding 1.2 (Maki Order Delay of 25 Minutes):</w:t>
      </w:r>
    </w:p>
    <w:p>
      <w:pPr>
        <w:spacing w:after="30"/>
        <w:ind w:left="576"/>
      </w:pPr>
      <w:r>
        <w:rPr>
          <w:rFonts w:ascii="Times New Roman" w:hAnsi="Times New Roman"/>
          <w:sz w:val="19"/>
        </w:rPr>
        <w:t xml:space="preserve">  • Why 1: Why did Table 4 Maki order take 25 minutes? -&gt; Sushi chef ran out of seasoned sushi rice mid-rush and had to wait for fresh shari.</w:t>
      </w:r>
    </w:p>
    <w:p>
      <w:pPr>
        <w:spacing w:after="30"/>
        <w:ind w:left="576"/>
      </w:pPr>
      <w:r>
        <w:rPr>
          <w:rFonts w:ascii="Times New Roman" w:hAnsi="Times New Roman"/>
          <w:sz w:val="19"/>
        </w:rPr>
        <w:t xml:space="preserve">  • Why 2: Why did shari run out unexpectedly? -&gt; Prep cook did not prepare a secondary buffer batch before the 12:00 PM lunch rush.</w:t>
      </w:r>
    </w:p>
    <w:p>
      <w:pPr>
        <w:spacing w:after="30"/>
        <w:ind w:left="576"/>
      </w:pPr>
      <w:r>
        <w:rPr>
          <w:rFonts w:ascii="Times New Roman" w:hAnsi="Times New Roman"/>
          <w:sz w:val="19"/>
        </w:rPr>
        <w:t xml:space="preserve">  • Why 3: Why wasn't a buffer batch prepared? -&gt; Rice cooker was occupied reheating commissary broth due to range burner malfunction.</w:t>
      </w:r>
    </w:p>
    <w:p>
      <w:pPr>
        <w:spacing w:after="30"/>
        <w:ind w:left="576"/>
      </w:pPr>
      <w:r>
        <w:rPr>
          <w:rFonts w:ascii="Times New Roman" w:hAnsi="Times New Roman"/>
          <w:sz w:val="19"/>
        </w:rPr>
        <w:t xml:space="preserve">  • Why 4: Why was the range burner malfunctioning? -&gt; Burner ports were clogged with carbonized grease from missed weekly deep cleaning.</w:t>
      </w:r>
    </w:p>
    <w:p>
      <w:pPr>
        <w:spacing w:after="30"/>
        <w:ind w:left="576"/>
      </w:pPr>
      <w:r>
        <w:rPr>
          <w:rFonts w:ascii="Times New Roman" w:hAnsi="Times New Roman"/>
          <w:sz w:val="19"/>
        </w:rPr>
        <w:t xml:space="preserve">  • Why 5 (Root Cause): Preventive maintenance neglect, improper equipment co-use, and lack of visual ticket timers alerting supervisors at the 10-minute mark (Resolved via SOP-SUS-01, SSOP-CLN-04, and SOP-FOH-02).</w:t>
      </w:r>
    </w:p>
    <w:p>
      <w:pPr>
        <w:spacing w:before="80" w:after="40"/>
      </w:pPr>
      <w:r>
        <w:rPr>
          <w:rFonts w:ascii="Times New Roman" w:hAnsi="Times New Roman"/>
          <w:b/>
          <w:sz w:val="20"/>
        </w:rPr>
        <w:t>5.3 CAPA Action Plan Formulation (Immediate vs. Preventive Measures)</w:t>
      </w:r>
    </w:p>
    <w:p>
      <w:pPr>
        <w:spacing w:after="30"/>
        <w:ind w:left="288"/>
      </w:pPr>
      <w:r>
        <w:rPr>
          <w:rFonts w:ascii="Times New Roman" w:hAnsi="Times New Roman"/>
          <w:b/>
        </w:rPr>
        <w:t xml:space="preserve">1. </w:t>
      </w:r>
      <w:r>
        <w:rPr>
          <w:rFonts w:ascii="Times New Roman" w:hAnsi="Times New Roman"/>
          <w:sz w:val="19"/>
        </w:rPr>
        <w:t>Immediate Correction: The tactical fix executed right away (e.g., condemn touched roll, sanitize cutting board, restock glove boxes, expedite rush ticket).</w:t>
      </w:r>
    </w:p>
    <w:p>
      <w:pPr>
        <w:spacing w:after="30"/>
        <w:ind w:left="288"/>
      </w:pPr>
      <w:r>
        <w:rPr>
          <w:rFonts w:ascii="Times New Roman" w:hAnsi="Times New Roman"/>
          <w:b/>
        </w:rPr>
        <w:t xml:space="preserve">2. </w:t>
      </w:r>
      <w:r>
        <w:rPr>
          <w:rFonts w:ascii="Times New Roman" w:hAnsi="Times New Roman"/>
          <w:sz w:val="19"/>
        </w:rPr>
        <w:t>Corrective Action (CA): Structural/procedural modification eliminating the root cause (e.g., revise Form LOG-GHP-01 to mandate morning glove stock sign-off; conduct mandatory 20-minute retraining on SOP-SUS-05).</w:t>
      </w:r>
    </w:p>
    <w:p>
      <w:pPr>
        <w:spacing w:after="30"/>
        <w:ind w:left="288"/>
      </w:pPr>
      <w:r>
        <w:rPr>
          <w:rFonts w:ascii="Times New Roman" w:hAnsi="Times New Roman"/>
          <w:b/>
        </w:rPr>
        <w:t xml:space="preserve">3. </w:t>
      </w:r>
      <w:r>
        <w:rPr>
          <w:rFonts w:ascii="Times New Roman" w:hAnsi="Times New Roman"/>
          <w:sz w:val="19"/>
        </w:rPr>
        <w:t>Preventive Action (PA): Proactive horizontal measures preventing similar failures across other stations (e.g., install backup glove dispenser brackets at hot kitchen and dishwashing pit; establish buffer rice staging schedules in SOP-SUS-01).</w:t>
      </w:r>
    </w:p>
    <w:p>
      <w:pPr>
        <w:spacing w:after="30"/>
        <w:ind w:left="288"/>
      </w:pPr>
      <w:r>
        <w:rPr>
          <w:rFonts w:ascii="Times New Roman" w:hAnsi="Times New Roman"/>
          <w:b/>
        </w:rPr>
        <w:t xml:space="preserve">4. </w:t>
      </w:r>
      <w:r>
        <w:rPr>
          <w:rFonts w:ascii="Times New Roman" w:hAnsi="Times New Roman"/>
          <w:sz w:val="19"/>
        </w:rPr>
        <w:t>SMART Action Plan Standards: Every CAPA item on Form LOG-MGT-01 must be: Specific (clear task), Measurable (verified via audit/log), Achievable (realistic resources), Relevant (directly targets root cause), and Time-Bound (explicit deadline date and named owner).</w:t>
      </w:r>
    </w:p>
    <w:p>
      <w:pPr>
        <w:spacing w:before="80" w:after="40"/>
      </w:pPr>
      <w:r>
        <w:rPr>
          <w:rFonts w:ascii="Times New Roman" w:hAnsi="Times New Roman"/>
          <w:b/>
          <w:sz w:val="20"/>
        </w:rPr>
        <w:t>5.4 Implementation Timelines, Escalation &amp; Mandatory 30-Day Verification</w:t>
      </w:r>
    </w:p>
    <w:p>
      <w:pPr>
        <w:spacing w:after="30"/>
        <w:ind w:left="288"/>
      </w:pPr>
      <w:r>
        <w:rPr>
          <w:rFonts w:ascii="Times New Roman" w:hAnsi="Times New Roman"/>
          <w:b/>
          <w:sz w:val="19"/>
        </w:rPr>
        <w:t>Risk Classification &amp; Mandatory Completion Deadlines:</w:t>
      </w:r>
    </w:p>
    <w:p>
      <w:pPr>
        <w:spacing w:after="30"/>
        <w:ind w:left="576"/>
      </w:pPr>
      <w:r>
        <w:rPr>
          <w:rFonts w:ascii="Times New Roman" w:hAnsi="Times New Roman"/>
          <w:sz w:val="19"/>
        </w:rPr>
        <w:t xml:space="preserve">  • Critical Non-Conformance (Food Safety / CCP Breach / Allergen Risk): Immediate containment (&lt; 15 mins), 5-Whys analysis (&lt; 24 hrs), CAPA fully implemented within 7 calendar days.</w:t>
      </w:r>
    </w:p>
    <w:p>
      <w:pPr>
        <w:spacing w:after="30"/>
        <w:ind w:left="576"/>
      </w:pPr>
      <w:r>
        <w:rPr>
          <w:rFonts w:ascii="Times New Roman" w:hAnsi="Times New Roman"/>
          <w:sz w:val="19"/>
        </w:rPr>
        <w:t xml:space="preserve">  • Major Non-Conformance (SSOP breakdown / Repeat temp drift / Ticket delay &gt; 15m): CAPA implemented within 14 calendar days.</w:t>
      </w:r>
    </w:p>
    <w:p>
      <w:pPr>
        <w:spacing w:after="30"/>
        <w:ind w:left="576"/>
      </w:pPr>
      <w:r>
        <w:rPr>
          <w:rFonts w:ascii="Times New Roman" w:hAnsi="Times New Roman"/>
          <w:sz w:val="19"/>
        </w:rPr>
        <w:t xml:space="preserve">  • Minor Non-Conformance (Documentation omission / Minor clutter): CAPA implemented within 30 calendar days.</w:t>
      </w:r>
    </w:p>
    <w:p>
      <w:pPr>
        <w:spacing w:after="30"/>
        <w:ind w:left="288"/>
      </w:pPr>
      <w:r>
        <w:rPr>
          <w:rFonts w:ascii="Times New Roman" w:hAnsi="Times New Roman"/>
          <w:b/>
        </w:rPr>
        <w:t xml:space="preserve">5. </w:t>
      </w:r>
      <w:r>
        <w:rPr>
          <w:rFonts w:ascii="Times New Roman" w:hAnsi="Times New Roman"/>
          <w:sz w:val="19"/>
        </w:rPr>
        <w:t>Overdue Escalation: If a CAPA item is not completed by its target date, the Lead FSCO escalates the failure directly to the Store Operations Manager within 24 hours.</w:t>
      </w:r>
    </w:p>
    <w:p>
      <w:pPr>
        <w:spacing w:after="30"/>
        <w:ind w:left="288"/>
      </w:pPr>
      <w:r>
        <w:rPr>
          <w:rFonts w:ascii="Times New Roman" w:hAnsi="Times New Roman"/>
          <w:b/>
        </w:rPr>
        <w:t xml:space="preserve">6. </w:t>
      </w:r>
      <w:r>
        <w:rPr>
          <w:rFonts w:ascii="Times New Roman" w:hAnsi="Times New Roman"/>
          <w:sz w:val="19"/>
        </w:rPr>
        <w:t>Mandatory 30-Day Post-Closure Effectiveness Audit: Exactly thirty (30) calendar days following CAPA completion, the Lead FSCO must conduct an unannounced surveillance audit of the affected station. If zero recurrences occurred and compliance is sustained, the FSCO signs off and marks the NCR 'OFFICIALLY CLOSED'.</w:t>
      </w:r>
    </w:p>
    <w:p>
      <w:pPr>
        <w:spacing w:before="80" w:after="40"/>
      </w:pPr>
      <w:r>
        <w:rPr>
          <w:rFonts w:ascii="Times New Roman" w:hAnsi="Times New Roman"/>
          <w:b/>
          <w:sz w:val="20"/>
        </w:rPr>
        <w:t>5.5 Monthly Trend Analysis, Management Review &amp; Record Archival</w:t>
      </w:r>
    </w:p>
    <w:p>
      <w:pPr>
        <w:spacing w:after="30"/>
        <w:ind w:left="288"/>
      </w:pPr>
      <w:r>
        <w:rPr>
          <w:rFonts w:ascii="Times New Roman" w:hAnsi="Times New Roman"/>
          <w:b/>
        </w:rPr>
        <w:t xml:space="preserve">1. </w:t>
      </w:r>
      <w:r>
        <w:rPr>
          <w:rFonts w:ascii="Times New Roman" w:hAnsi="Times New Roman"/>
          <w:sz w:val="19"/>
        </w:rPr>
        <w:t>Monthly Trend Analysis: Lead FSCO aggregates Form LOG-MGT-01 and LOG-DEV-01 records at the end of every calendar month into a Pareto analysis chart (categorizing deviations by: Hand Hygiene, Temperature, Chemical Titration, Service Speed, Maintenance).</w:t>
      </w:r>
    </w:p>
    <w:p>
      <w:pPr>
        <w:spacing w:after="30"/>
        <w:ind w:left="288"/>
      </w:pPr>
      <w:r>
        <w:rPr>
          <w:rFonts w:ascii="Times New Roman" w:hAnsi="Times New Roman"/>
          <w:b/>
        </w:rPr>
        <w:t xml:space="preserve">2. </w:t>
      </w:r>
      <w:r>
        <w:rPr>
          <w:rFonts w:ascii="Times New Roman" w:hAnsi="Times New Roman"/>
          <w:sz w:val="19"/>
        </w:rPr>
        <w:t>Quarterly Management Review: Store Operations Manager, Lead FSCO, and Head Chef review quarterly CAPA trends to evaluate recurring systemic weaknesses, allocate capital improvement budgets, and drive continuous food safety excellence.</w:t>
      </w:r>
    </w:p>
    <w:p>
      <w:pPr>
        <w:spacing w:after="30"/>
        <w:ind w:left="288"/>
      </w:pPr>
      <w:r>
        <w:rPr>
          <w:rFonts w:ascii="Times New Roman" w:hAnsi="Times New Roman"/>
          <w:b/>
        </w:rPr>
        <w:t xml:space="preserve">3. </w:t>
      </w:r>
      <w:r>
        <w:rPr>
          <w:rFonts w:ascii="Times New Roman" w:hAnsi="Times New Roman"/>
          <w:sz w:val="19"/>
        </w:rPr>
        <w:t>Two-Year Record Archival: All physical Non-Conformance Reports (Form LOG-MGT-01), 5-Whys worksheets, retraining sign-off sheets, and deviation logs (LOG-DEV-01) must be retained in the active QMS archive for a minimum of two (2) years.</w:t>
      </w:r>
    </w:p>
    <w:p>
      <w:pPr>
        <w:spacing w:before="140" w:after="40"/>
      </w:pPr>
      <w:r>
        <w:rPr>
          <w:rFonts w:ascii="Times New Roman" w:hAnsi="Times New Roman"/>
          <w:b/>
          <w:color w:val="1B365D"/>
          <w:sz w:val="22"/>
        </w:rPr>
        <w:t>6. Monitoring</w:t>
      </w:r>
    </w:p>
    <w:p>
      <w:pPr>
        <w:spacing w:after="30"/>
        <w:ind w:left="288"/>
      </w:pPr>
      <w:r>
        <w:rPr>
          <w:rFonts w:ascii="Times New Roman" w:hAnsi="Times New Roman"/>
          <w:b/>
        </w:rPr>
        <w:t xml:space="preserve">1. </w:t>
      </w:r>
      <w:r>
        <w:rPr>
          <w:rFonts w:ascii="Times New Roman" w:hAnsi="Times New Roman"/>
          <w:sz w:val="19"/>
        </w:rPr>
        <w:t>Shift Supervisor logs 100% of operational deviations and immediate containment actions on Form LOG-DEV-01 within 15 minutes.</w:t>
      </w:r>
    </w:p>
    <w:p>
      <w:pPr>
        <w:spacing w:after="30"/>
        <w:ind w:left="288"/>
      </w:pPr>
      <w:r>
        <w:rPr>
          <w:rFonts w:ascii="Times New Roman" w:hAnsi="Times New Roman"/>
          <w:b/>
        </w:rPr>
        <w:t xml:space="preserve">2. </w:t>
      </w:r>
      <w:r>
        <w:rPr>
          <w:rFonts w:ascii="Times New Roman" w:hAnsi="Times New Roman"/>
          <w:sz w:val="19"/>
        </w:rPr>
        <w:t>Supervisor initiates and coordinates 5-Whys root cause analysis on Form LOG-MGT-01 within 24 hours of occurrence.</w:t>
      </w:r>
    </w:p>
    <w:p>
      <w:pPr>
        <w:spacing w:after="30"/>
        <w:ind w:left="288"/>
      </w:pPr>
      <w:r>
        <w:rPr>
          <w:rFonts w:ascii="Times New Roman" w:hAnsi="Times New Roman"/>
          <w:b/>
        </w:rPr>
        <w:t xml:space="preserve">3. </w:t>
      </w:r>
      <w:r>
        <w:rPr>
          <w:rFonts w:ascii="Times New Roman" w:hAnsi="Times New Roman"/>
          <w:sz w:val="19"/>
        </w:rPr>
        <w:t>Lead FSCO audits open CAPA items weekly, tracking implementation deadlines (7-day / 14-day / 30-day limits).</w:t>
      </w:r>
    </w:p>
    <w:p>
      <w:pPr>
        <w:spacing w:after="30"/>
        <w:ind w:left="288"/>
      </w:pPr>
      <w:r>
        <w:rPr>
          <w:rFonts w:ascii="Times New Roman" w:hAnsi="Times New Roman"/>
          <w:b/>
        </w:rPr>
        <w:t xml:space="preserve">4. </w:t>
      </w:r>
      <w:r>
        <w:rPr>
          <w:rFonts w:ascii="Times New Roman" w:hAnsi="Times New Roman"/>
          <w:sz w:val="19"/>
        </w:rPr>
        <w:t>Lead FSCO executes and documents the mandatory 30-day post-closure verification audit on Form LOG-MGT-01 prior to formal closure.</w:t>
      </w:r>
    </w:p>
    <w:p>
      <w:pPr>
        <w:spacing w:before="140" w:after="40"/>
      </w:pPr>
      <w:r>
        <w:rPr>
          <w:rFonts w:ascii="Times New Roman" w:hAnsi="Times New Roman"/>
          <w:b/>
          <w:color w:val="1B365D"/>
          <w:sz w:val="22"/>
        </w:rPr>
        <w:t>7. Corrective Action</w:t>
      </w:r>
    </w:p>
    <w:p>
      <w:pPr>
        <w:spacing w:after="30"/>
        <w:ind w:left="360"/>
      </w:pPr>
      <w:r>
        <w:rPr>
          <w:rFonts w:ascii="Times New Roman" w:hAnsi="Times New Roman"/>
          <w:b/>
        </w:rPr>
        <w:t xml:space="preserve">• </w:t>
      </w:r>
      <w:r>
        <w:rPr>
          <w:rFonts w:ascii="Times New Roman" w:hAnsi="Times New Roman"/>
          <w:b/>
          <w:sz w:val="19"/>
        </w:rPr>
        <w:t xml:space="preserve">Overdue CAPA Action Item (&gt; Assigned Deadline): </w:t>
      </w:r>
      <w:r>
        <w:rPr>
          <w:rFonts w:ascii="Times New Roman" w:hAnsi="Times New Roman"/>
          <w:sz w:val="19"/>
        </w:rPr>
        <w:t>Lead FSCO immediately issues a formal Non-Compliance Escalation Memo to the Store Operations Manager. Responsible action owner must present an expedited completion plan within 24 hours. Operational resources re-allocated immediately.</w:t>
      </w:r>
    </w:p>
    <w:p>
      <w:pPr>
        <w:spacing w:after="30"/>
        <w:ind w:left="360"/>
      </w:pPr>
      <w:r>
        <w:rPr>
          <w:rFonts w:ascii="Times New Roman" w:hAnsi="Times New Roman"/>
          <w:b/>
        </w:rPr>
        <w:t xml:space="preserve">• </w:t>
      </w:r>
      <w:r>
        <w:rPr>
          <w:rFonts w:ascii="Times New Roman" w:hAnsi="Times New Roman"/>
          <w:b/>
          <w:sz w:val="19"/>
        </w:rPr>
        <w:t xml:space="preserve">Recurrence of Identical Non-Conformance Within 30 Days: </w:t>
      </w:r>
      <w:r>
        <w:rPr>
          <w:rFonts w:ascii="Times New Roman" w:hAnsi="Times New Roman"/>
          <w:sz w:val="19"/>
        </w:rPr>
        <w:t>IMMEDIATELY RE-OPEN NCR. The recurrence proves the initial 5-Whys root cause analysis was flawed or incomplete. Convene full management review, conduct deeper investigation, implement physical/engineering barriers, and conduct mandatory staff re-training.</w:t>
      </w:r>
    </w:p>
    <w:p>
      <w:pPr>
        <w:spacing w:after="30"/>
        <w:ind w:left="360"/>
      </w:pPr>
      <w:r>
        <w:rPr>
          <w:rFonts w:ascii="Times New Roman" w:hAnsi="Times New Roman"/>
          <w:b/>
        </w:rPr>
        <w:t xml:space="preserve">• </w:t>
      </w:r>
      <w:r>
        <w:rPr>
          <w:rFonts w:ascii="Times New Roman" w:hAnsi="Times New Roman"/>
          <w:b/>
          <w:sz w:val="19"/>
        </w:rPr>
        <w:t xml:space="preserve">Unauthorized Release / Consumption of Quarantined Food: </w:t>
      </w:r>
      <w:r>
        <w:rPr>
          <w:rFonts w:ascii="Times New Roman" w:hAnsi="Times New Roman"/>
          <w:sz w:val="19"/>
        </w:rPr>
        <w:t>IMMEDIATELY HALT SERVICE. Identify all customers served, offer medical clinic assistance if symptoms arise, condemn remaining batch, and initiate immediate disciplinary action against responsible supervisor. Log in Form LOG-DEV-01.</w:t>
      </w:r>
    </w:p>
    <w:p>
      <w:pPr>
        <w:spacing w:before="140" w:after="40"/>
      </w:pPr>
      <w:r>
        <w:rPr>
          <w:rFonts w:ascii="Times New Roman" w:hAnsi="Times New Roman"/>
          <w:b/>
          <w:color w:val="1B365D"/>
          <w:sz w:val="22"/>
        </w:rPr>
        <w:t>8. Verification</w:t>
      </w:r>
    </w:p>
    <w:p>
      <w:pPr>
        <w:spacing w:after="30"/>
        <w:ind w:left="360"/>
      </w:pPr>
      <w:r>
        <w:rPr>
          <w:rFonts w:ascii="Times New Roman" w:hAnsi="Times New Roman"/>
          <w:b/>
        </w:rPr>
        <w:t xml:space="preserve">• </w:t>
      </w:r>
      <w:r>
        <w:rPr>
          <w:rFonts w:ascii="Times New Roman" w:hAnsi="Times New Roman"/>
          <w:b/>
          <w:sz w:val="19"/>
        </w:rPr>
        <w:t xml:space="preserve">FSCO Document &amp; Master CAPA Audit: </w:t>
      </w:r>
      <w:r>
        <w:rPr>
          <w:rFonts w:ascii="Times New Roman" w:hAnsi="Times New Roman"/>
          <w:sz w:val="19"/>
        </w:rPr>
        <w:t>Lead FSCO reviews Form LOG-MGT-01 and LOG-DEV-01 monthly to verify 100% resolution rate and zero open overdue items.</w:t>
      </w:r>
    </w:p>
    <w:p>
      <w:pPr>
        <w:spacing w:after="30"/>
        <w:ind w:left="360"/>
      </w:pPr>
      <w:r>
        <w:rPr>
          <w:rFonts w:ascii="Times New Roman" w:hAnsi="Times New Roman"/>
          <w:b/>
        </w:rPr>
        <w:t xml:space="preserve">• </w:t>
      </w:r>
      <w:r>
        <w:rPr>
          <w:rFonts w:ascii="Times New Roman" w:hAnsi="Times New Roman"/>
          <w:b/>
          <w:sz w:val="19"/>
        </w:rPr>
        <w:t xml:space="preserve">Unannounced 30-Day Follow-Up Surveillance: </w:t>
      </w:r>
      <w:r>
        <w:rPr>
          <w:rFonts w:ascii="Times New Roman" w:hAnsi="Times New Roman"/>
          <w:sz w:val="19"/>
        </w:rPr>
        <w:t>FSCO conducts physical unannounced audits of affected stations 30 days post-closure to ensure corrective measures are permanently integrated.</w:t>
      </w:r>
    </w:p>
    <w:p>
      <w:pPr>
        <w:spacing w:after="30"/>
        <w:ind w:left="360"/>
      </w:pPr>
      <w:r>
        <w:rPr>
          <w:rFonts w:ascii="Times New Roman" w:hAnsi="Times New Roman"/>
          <w:b/>
        </w:rPr>
        <w:t xml:space="preserve">• </w:t>
      </w:r>
      <w:r>
        <w:rPr>
          <w:rFonts w:ascii="Times New Roman" w:hAnsi="Times New Roman"/>
          <w:b/>
          <w:sz w:val="19"/>
        </w:rPr>
        <w:t xml:space="preserve">Semi-Annual QMS System Audit: </w:t>
      </w:r>
      <w:r>
        <w:rPr>
          <w:rFonts w:ascii="Times New Roman" w:hAnsi="Times New Roman"/>
          <w:sz w:val="19"/>
        </w:rPr>
        <w:t>FSCO and Store Operations Manager execute a comprehensive internal audit of the entire CAPA and QMS management system semi-annually.</w:t>
      </w:r>
    </w:p>
    <w:p>
      <w:pPr>
        <w:spacing w:before="140" w:after="40"/>
      </w:pPr>
      <w:r>
        <w:rPr>
          <w:rFonts w:ascii="Times New Roman" w:hAnsi="Times New Roman"/>
          <w:b/>
          <w:color w:val="1B365D"/>
          <w:sz w:val="22"/>
        </w:rPr>
        <w:t>9. Records</w:t>
      </w:r>
    </w:p>
    <w:p>
      <w:pPr>
        <w:spacing w:after="30"/>
        <w:ind w:left="360"/>
      </w:pPr>
      <w:r>
        <w:rPr>
          <w:rFonts w:ascii="Times New Roman" w:hAnsi="Times New Roman"/>
          <w:b/>
        </w:rPr>
        <w:t xml:space="preserve">• </w:t>
      </w:r>
      <w:r>
        <w:rPr>
          <w:rFonts w:ascii="Times New Roman" w:hAnsi="Times New Roman"/>
          <w:b/>
          <w:sz w:val="19"/>
        </w:rPr>
        <w:t xml:space="preserve">Form LOG-MGT-01: </w:t>
      </w:r>
      <w:r>
        <w:rPr>
          <w:rFonts w:ascii="Times New Roman" w:hAnsi="Times New Roman"/>
          <w:sz w:val="19"/>
        </w:rPr>
        <w:t>Non-Conformance, 5-Whys Root Cause Analysis &amp; CAPA Report (attached)</w:t>
      </w:r>
    </w:p>
    <w:p>
      <w:pPr>
        <w:spacing w:after="30"/>
        <w:ind w:left="360"/>
      </w:pPr>
      <w:r>
        <w:rPr>
          <w:rFonts w:ascii="Times New Roman" w:hAnsi="Times New Roman"/>
          <w:b/>
        </w:rPr>
        <w:t xml:space="preserve">• </w:t>
      </w:r>
      <w:r>
        <w:rPr>
          <w:rFonts w:ascii="Times New Roman" w:hAnsi="Times New Roman"/>
          <w:b/>
          <w:sz w:val="19"/>
        </w:rPr>
        <w:t xml:space="preserve">Form LOG-DEV-01: </w:t>
      </w:r>
      <w:r>
        <w:rPr>
          <w:rFonts w:ascii="Times New Roman" w:hAnsi="Times New Roman"/>
          <w:sz w:val="19"/>
        </w:rPr>
        <w:t>Master Deviation and Corrective Action Log</w:t>
      </w:r>
    </w:p>
    <w:p>
      <w:pPr>
        <w:spacing w:after="30"/>
        <w:ind w:left="360"/>
      </w:pPr>
      <w:r>
        <w:rPr>
          <w:rFonts w:ascii="Times New Roman" w:hAnsi="Times New Roman"/>
          <w:b/>
        </w:rPr>
        <w:t xml:space="preserve">• </w:t>
      </w:r>
      <w:r>
        <w:rPr>
          <w:rFonts w:ascii="Times New Roman" w:hAnsi="Times New Roman"/>
          <w:b/>
          <w:sz w:val="19"/>
        </w:rPr>
        <w:t xml:space="preserve">Monthly QMS Pareto Trend Reports: </w:t>
      </w:r>
      <w:r>
        <w:rPr>
          <w:rFonts w:ascii="Times New Roman" w:hAnsi="Times New Roman"/>
          <w:sz w:val="19"/>
        </w:rPr>
        <w:t>Monthly food safety non-conformance analytics archive (2 years).</w:t>
      </w:r>
    </w:p>
    <w:p>
      <w:pPr>
        <w:spacing w:before="120" w:after="40"/>
      </w:pP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5184"/>
        <w:gridCol w:w="5184"/>
      </w:tblGrid>
      <w:tr>
        <w:tc>
          <w:tcPr>
            <w:tcW w:type="dxa" w:w="5184"/>
            <w:shd w:fill="F7FAFC"/>
            <w:tcMar>
              <w:top w:w="60" w:type="dxa"/>
              <w:bottom w:w="60" w:type="dxa"/>
              <w:left w:w="80" w:type="dxa"/>
              <w:right w:w="80" w:type="dxa"/>
            </w:tcMar>
          </w:tcPr>
          <w:p>
            <w:pPr>
              <w:spacing w:after="0"/>
            </w:pPr>
            <w:r>
              <w:rPr>
                <w:rFonts w:ascii="Times New Roman" w:hAnsi="Times New Roman"/>
                <w:b/>
              </w:rPr>
              <w:t>Prepared by:</w:t>
              <w:br/>
            </w:r>
            <w:r>
              <w:rPr>
                <w:rFonts w:ascii="Times New Roman" w:hAnsi="Times New Roman"/>
              </w:rPr>
              <w:t>_________________________________________</w:t>
              <w:br/>
            </w:r>
            <w:r>
              <w:rPr>
                <w:rFonts w:ascii="Times New Roman" w:hAnsi="Times New Roman"/>
                <w:b/>
              </w:rPr>
              <w:t>Jake-Edwards L. Yboa, FSCO</w:t>
              <w:br/>
            </w:r>
            <w:r>
              <w:rPr>
                <w:rFonts w:ascii="Times New Roman" w:hAnsi="Times New Roman"/>
              </w:rPr>
              <w:t>Lead Food Safety Compliance Officer</w:t>
              <w:br/>
              <w:t>Date: 08/30/2026</w:t>
            </w:r>
          </w:p>
        </w:tc>
        <w:tc>
          <w:tcPr>
            <w:tcW w:type="dxa" w:w="5184"/>
            <w:shd w:fill="F7FAFC"/>
            <w:tcMar>
              <w:top w:w="60" w:type="dxa"/>
              <w:bottom w:w="60" w:type="dxa"/>
              <w:left w:w="80" w:type="dxa"/>
              <w:right w:w="80" w:type="dxa"/>
            </w:tcMar>
          </w:tcPr>
          <w:p>
            <w:pPr>
              <w:spacing w:after="0"/>
            </w:pPr>
            <w:r>
              <w:rPr>
                <w:rFonts w:ascii="Times New Roman" w:hAnsi="Times New Roman"/>
                <w:b/>
              </w:rPr>
              <w:t>Acknowledged by:</w:t>
              <w:br/>
            </w:r>
            <w:r>
              <w:rPr>
                <w:rFonts w:ascii="Times New Roman" w:hAnsi="Times New Roman"/>
              </w:rPr>
              <w:t>_________________________________________</w:t>
              <w:br/>
            </w:r>
            <w:r>
              <w:rPr>
                <w:rFonts w:ascii="Times New Roman" w:hAnsi="Times New Roman"/>
                <w:b/>
              </w:rPr>
              <w:t>Store Operations Manager / Representative</w:t>
              <w:br/>
            </w:r>
            <w:r>
              <w:rPr>
                <w:rFonts w:ascii="Times New Roman" w:hAnsi="Times New Roman"/>
              </w:rPr>
              <w:t>Suteki Japanese Restaurant (SM Dasmariñas)</w:t>
              <w:br/>
              <w:t>Date: ___________________</w:t>
            </w:r>
          </w:p>
        </w:tc>
      </w:tr>
    </w:tbl>
    <w:p>
      <w:r>
        <w:br w:type="page"/>
      </w:r>
    </w:p>
    <w:p>
      <w:pPr>
        <w:spacing w:before="40" w:after="20"/>
        <w:jc w:val="center"/>
      </w:pPr>
      <w:r>
        <w:rPr>
          <w:rFonts w:ascii="Times New Roman" w:hAnsi="Times New Roman"/>
          <w:b/>
          <w:color w:val="1B365D"/>
          <w:sz w:val="22"/>
        </w:rPr>
        <w:t>COMPLIANCE SYSTEM TOOLKIT</w:t>
      </w:r>
    </w:p>
    <w:p>
      <w:pPr>
        <w:spacing w:after="80"/>
        <w:jc w:val="center"/>
      </w:pPr>
      <w:r>
        <w:rPr>
          <w:rFonts w:ascii="Times New Roman" w:hAnsi="Times New Roman"/>
          <w:b/>
          <w:sz w:val="19"/>
        </w:rPr>
        <w:t>FORM LOG-MGT-01: NON-CONFORMANCE, 5-WHYS ROOT CAUSE &amp; CAPA REPORT</w:t>
      </w:r>
    </w:p>
    <w:p>
      <w:pPr>
        <w:spacing w:after="80"/>
      </w:pPr>
      <w:r>
        <w:rPr>
          <w:rFonts w:ascii="Times New Roman" w:hAnsi="Times New Roman"/>
          <w:b/>
          <w:sz w:val="18"/>
        </w:rPr>
        <w:t xml:space="preserve">Instructions: </w:t>
      </w:r>
      <w:r>
        <w:rPr>
          <w:rFonts w:ascii="Times New Roman" w:hAnsi="Times New Roman"/>
          <w:sz w:val="18"/>
        </w:rPr>
        <w:t>Initiate upon any CCP breach, audit finding, or major deviation. Execute immediate containment (&lt; 15 mins), conduct 5-Whys investigation (&lt; 24 hrs), implement CAPA (&lt; 7 days for Critical), and execute 30-day verification audit before closure.</w:t>
      </w:r>
    </w:p>
    <w:tbl>
      <w:tblPr>
        <w:tblW w:type="auto" w:w="0"/>
        <w:jc w:val="center"/>
        <w:tblLook w:firstColumn="1" w:firstRow="1" w:lastColumn="0" w:lastRow="0" w:noHBand="0" w:noVBand="1" w:val="04A0"/>
        <w:tblBorders>
          <w:top w:val="single" w:sz="4" w:space="0" w:color="B0B0B0"/>
          <w:bottom w:val="single" w:sz="4" w:space="0" w:color="B0B0B0"/>
          <w:left w:val="single" w:sz="4" w:space="0" w:color="B0B0B0"/>
          <w:right w:val="single" w:sz="4" w:space="0" w:color="B0B0B0"/>
          <w:insideH w:val="single" w:sz="4" w:space="0" w:color="B0B0B0"/>
          <w:insideV w:val="single" w:sz="4" w:space="0" w:color="B0B0B0"/>
        </w:tblBorders>
      </w:tblPr>
      <w:tblGrid>
        <w:gridCol w:w="1481"/>
        <w:gridCol w:w="1481"/>
        <w:gridCol w:w="1481"/>
        <w:gridCol w:w="1481"/>
        <w:gridCol w:w="1481"/>
        <w:gridCol w:w="1481"/>
        <w:gridCol w:w="1481"/>
      </w:tblGrid>
      <w:tr>
        <w:tc>
          <w:tcPr>
            <w:tcW w:type="dxa" w:w="1224"/>
            <w:shd w:fill="1B365D"/>
            <w:tcMar>
              <w:top w:w="50" w:type="dxa"/>
              <w:bottom w:w="50" w:type="dxa"/>
              <w:left w:w="35" w:type="dxa"/>
              <w:right w:w="35" w:type="dxa"/>
            </w:tcMar>
          </w:tcPr>
          <w:p>
            <w:pPr>
              <w:spacing w:after="0"/>
              <w:jc w:val="center"/>
            </w:pPr>
            <w:r>
              <w:rPr>
                <w:rFonts w:ascii="Times New Roman" w:hAnsi="Times New Roman"/>
                <w:b/>
                <w:color w:val="FFFFFF"/>
                <w:sz w:val="14"/>
              </w:rPr>
              <w:t>NCR # &amp; Date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Deviation Description &amp; Station</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Immediate Containment / Quarantine</w:t>
            </w:r>
          </w:p>
        </w:tc>
        <w:tc>
          <w:tcPr>
            <w:tcW w:type="dxa" w:w="1656"/>
            <w:shd w:fill="1B365D"/>
            <w:tcMar>
              <w:top w:w="50" w:type="dxa"/>
              <w:bottom w:w="50" w:type="dxa"/>
              <w:left w:w="35" w:type="dxa"/>
              <w:right w:w="35" w:type="dxa"/>
            </w:tcMar>
          </w:tcPr>
          <w:p>
            <w:pPr>
              <w:spacing w:after="0"/>
              <w:jc w:val="center"/>
            </w:pPr>
            <w:r>
              <w:rPr>
                <w:rFonts w:ascii="Times New Roman" w:hAnsi="Times New Roman"/>
                <w:b/>
                <w:color w:val="FFFFFF"/>
                <w:sz w:val="14"/>
              </w:rPr>
              <w:t>Root Cause Identified (5-Whys)</w:t>
            </w:r>
          </w:p>
        </w:tc>
        <w:tc>
          <w:tcPr>
            <w:tcW w:type="dxa" w:w="1584"/>
            <w:shd w:fill="1B365D"/>
            <w:tcMar>
              <w:top w:w="50" w:type="dxa"/>
              <w:bottom w:w="50" w:type="dxa"/>
              <w:left w:w="35" w:type="dxa"/>
              <w:right w:w="35" w:type="dxa"/>
            </w:tcMar>
          </w:tcPr>
          <w:p>
            <w:pPr>
              <w:spacing w:after="0"/>
              <w:jc w:val="center"/>
            </w:pPr>
            <w:r>
              <w:rPr>
                <w:rFonts w:ascii="Times New Roman" w:hAnsi="Times New Roman"/>
                <w:b/>
                <w:color w:val="FFFFFF"/>
                <w:sz w:val="14"/>
              </w:rPr>
              <w:t>CAPA Action &amp; Owner</w:t>
            </w:r>
          </w:p>
        </w:tc>
        <w:tc>
          <w:tcPr>
            <w:tcW w:type="dxa" w:w="1296"/>
            <w:shd w:fill="1B365D"/>
            <w:tcMar>
              <w:top w:w="50" w:type="dxa"/>
              <w:bottom w:w="50" w:type="dxa"/>
              <w:left w:w="35" w:type="dxa"/>
              <w:right w:w="35" w:type="dxa"/>
            </w:tcMar>
          </w:tcPr>
          <w:p>
            <w:pPr>
              <w:spacing w:after="0"/>
              <w:jc w:val="center"/>
            </w:pPr>
            <w:r>
              <w:rPr>
                <w:rFonts w:ascii="Times New Roman" w:hAnsi="Times New Roman"/>
                <w:b/>
                <w:color w:val="FFFFFF"/>
                <w:sz w:val="14"/>
              </w:rPr>
              <w:t>30-Day Verified? (Pass/Fail)</w:t>
            </w:r>
          </w:p>
        </w:tc>
        <w:tc>
          <w:tcPr>
            <w:tcW w:type="dxa" w:w="1152"/>
            <w:shd w:fill="1B365D"/>
            <w:tcMar>
              <w:top w:w="50" w:type="dxa"/>
              <w:bottom w:w="50" w:type="dxa"/>
              <w:left w:w="35" w:type="dxa"/>
              <w:right w:w="35" w:type="dxa"/>
            </w:tcMar>
          </w:tcPr>
          <w:p>
            <w:pPr>
              <w:spacing w:after="0"/>
              <w:jc w:val="center"/>
            </w:pPr>
            <w:r>
              <w:rPr>
                <w:rFonts w:ascii="Times New Roman" w:hAnsi="Times New Roman"/>
                <w:b/>
                <w:color w:val="FFFFFF"/>
                <w:sz w:val="14"/>
              </w:rPr>
              <w:t>FSCO Sign</w:t>
            </w: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r>
        <w:tc>
          <w:tcPr>
            <w:tcW w:type="dxa" w:w="1224"/>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656"/>
            <w:shd w:fill="F9FAFB"/>
            <w:tcMar>
              <w:top w:w="35" w:type="dxa"/>
              <w:bottom w:w="35" w:type="dxa"/>
              <w:left w:w="35" w:type="dxa"/>
              <w:right w:w="35" w:type="dxa"/>
            </w:tcMar>
          </w:tcPr>
          <w:p>
            <w:pPr>
              <w:spacing w:after="0" w:before="0"/>
            </w:pPr>
          </w:p>
        </w:tc>
        <w:tc>
          <w:tcPr>
            <w:tcW w:type="dxa" w:w="1584"/>
            <w:shd w:fill="F9FAFB"/>
            <w:tcMar>
              <w:top w:w="35" w:type="dxa"/>
              <w:bottom w:w="35" w:type="dxa"/>
              <w:left w:w="35" w:type="dxa"/>
              <w:right w:w="35" w:type="dxa"/>
            </w:tcMar>
          </w:tcPr>
          <w:p>
            <w:pPr>
              <w:spacing w:after="0" w:before="0"/>
            </w:pPr>
          </w:p>
        </w:tc>
        <w:tc>
          <w:tcPr>
            <w:tcW w:type="dxa" w:w="1296"/>
            <w:shd w:fill="F9FAFB"/>
            <w:tcMar>
              <w:top w:w="35" w:type="dxa"/>
              <w:bottom w:w="35" w:type="dxa"/>
              <w:left w:w="35" w:type="dxa"/>
              <w:right w:w="35" w:type="dxa"/>
            </w:tcMar>
          </w:tcPr>
          <w:p>
            <w:pPr>
              <w:spacing w:after="0" w:before="0"/>
            </w:pPr>
          </w:p>
        </w:tc>
        <w:tc>
          <w:tcPr>
            <w:tcW w:type="dxa" w:w="1152"/>
            <w:shd w:fill="F9FAFB"/>
            <w:tcMar>
              <w:top w:w="35" w:type="dxa"/>
              <w:bottom w:w="35" w:type="dxa"/>
              <w:left w:w="35" w:type="dxa"/>
              <w:right w:w="35" w:type="dxa"/>
            </w:tcMar>
          </w:tcPr>
          <w:p>
            <w:pPr>
              <w:spacing w:after="0" w:before="0"/>
            </w:pPr>
          </w:p>
        </w:tc>
      </w:tr>
      <w:tr>
        <w:tc>
          <w:tcPr>
            <w:tcW w:type="dxa" w:w="1224"/>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656"/>
            <w:shd w:fill="FFFFFF"/>
            <w:tcMar>
              <w:top w:w="35" w:type="dxa"/>
              <w:bottom w:w="35" w:type="dxa"/>
              <w:left w:w="35" w:type="dxa"/>
              <w:right w:w="35" w:type="dxa"/>
            </w:tcMar>
          </w:tcPr>
          <w:p>
            <w:pPr>
              <w:spacing w:after="0" w:before="0"/>
            </w:pPr>
          </w:p>
        </w:tc>
        <w:tc>
          <w:tcPr>
            <w:tcW w:type="dxa" w:w="1584"/>
            <w:shd w:fill="FFFFFF"/>
            <w:tcMar>
              <w:top w:w="35" w:type="dxa"/>
              <w:bottom w:w="35" w:type="dxa"/>
              <w:left w:w="35" w:type="dxa"/>
              <w:right w:w="35" w:type="dxa"/>
            </w:tcMar>
          </w:tcPr>
          <w:p>
            <w:pPr>
              <w:spacing w:after="0" w:before="0"/>
            </w:pPr>
          </w:p>
        </w:tc>
        <w:tc>
          <w:tcPr>
            <w:tcW w:type="dxa" w:w="1296"/>
            <w:shd w:fill="FFFFFF"/>
            <w:tcMar>
              <w:top w:w="35" w:type="dxa"/>
              <w:bottom w:w="35" w:type="dxa"/>
              <w:left w:w="35" w:type="dxa"/>
              <w:right w:w="35" w:type="dxa"/>
            </w:tcMar>
          </w:tcPr>
          <w:p>
            <w:pPr>
              <w:spacing w:after="0" w:before="0"/>
            </w:pPr>
          </w:p>
        </w:tc>
        <w:tc>
          <w:tcPr>
            <w:tcW w:type="dxa" w:w="1152"/>
            <w:shd w:fill="FFFFFF"/>
            <w:tcMar>
              <w:top w:w="35" w:type="dxa"/>
              <w:bottom w:w="35" w:type="dxa"/>
              <w:left w:w="35" w:type="dxa"/>
              <w:right w:w="35" w:type="dxa"/>
            </w:tcMar>
          </w:tcPr>
          <w:p>
            <w:pPr>
              <w:spacing w:after="0" w:before="0"/>
            </w:pPr>
          </w:p>
        </w:tc>
      </w:tr>
    </w:tbl>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before="0"/>
    </w:pPr>
    <w:rPr>
      <w:rFonts w:ascii="Times New Roman" w:hAnsi="Times New Roman"/>
      <w:color w:val="22222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