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Food Safety Management System (FSMS)</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QMS-MAN-01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FSMS Master Manual – Comprehensive Food Safety Architecture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02 (Final)</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Target: 95%+ (Excellent)</w:t>
            </w:r>
          </w:p>
        </w:tc>
      </w:tr>
    </w:tbl>
    <w:p>
      <w:pPr>
        <w:spacing w:before="80" w:after="80"/>
      </w:pPr>
    </w:p>
    <w:p>
      <w:pPr>
        <w:spacing w:before="160" w:after="60"/>
      </w:pPr>
      <w:r>
        <w:rPr>
          <w:rFonts w:ascii="Times New Roman" w:hAnsi="Times New Roman"/>
          <w:b/>
          <w:color w:val="1B365D"/>
          <w:sz w:val="24"/>
        </w:rPr>
        <w:t>I. Executive Framework &amp; Risk Modeling</w:t>
      </w:r>
    </w:p>
    <w:p>
      <w:pPr>
        <w:spacing w:after="50"/>
      </w:pPr>
      <w:r>
        <w:rPr>
          <w:rFonts w:ascii="Times New Roman" w:hAnsi="Times New Roman"/>
          <w:sz w:val="19"/>
        </w:rPr>
        <w:t>This Food Safety Management System (FSMS) establishes the mandatory scientific and regulatory operational framework for Suteki Japanese Restaurant, SM Dasmariñas, Cavite. Operating under the commissary supply model with in-store sushi rice processing, deep-frying lethality, ramen broth reheating, and cold ready-to-eat sushi lines, this system bridges physical facility constraints through rigorous operational controls. All policies, standard procedures, and verification toolkits ensure complete statutory compliance with Republic Act No. 10611 (Food Safety Act of 2013), Presidential Decree No. 856 (Code on Sanitation of the Philippines), US FDA Food Code standards, and ISO 22000:2018 management principles.</w:t>
      </w:r>
    </w:p>
    <w:p>
      <w:pPr>
        <w:spacing w:before="120" w:after="40"/>
      </w:pPr>
      <w:r>
        <w:rPr>
          <w:rFonts w:ascii="Times New Roman" w:hAnsi="Times New Roman"/>
          <w:b/>
          <w:color w:val="1B365D"/>
          <w:sz w:val="21"/>
        </w:rPr>
        <w:t>1. Quantitative Risk Scoring Formula</w:t>
      </w:r>
    </w:p>
    <w:p>
      <w:pPr>
        <w:spacing w:after="50"/>
      </w:pPr>
      <w:r>
        <w:rPr>
          <w:rFonts w:ascii="Times New Roman" w:hAnsi="Times New Roman"/>
          <w:sz w:val="19"/>
        </w:rPr>
        <w:t>Facility surveillance audits and operational inspections utilize the risk-based evaluation formula: Risk (R) = Likelihood (P) × Severity (S). Non-conformances are classified across three rigorous tiers:</w:t>
      </w:r>
    </w:p>
    <w:p>
      <w:pPr>
        <w:spacing w:after="30"/>
        <w:ind w:left="360"/>
      </w:pPr>
      <w:r>
        <w:rPr>
          <w:rFonts w:ascii="Times New Roman" w:hAnsi="Times New Roman"/>
          <w:b/>
        </w:rPr>
        <w:t xml:space="preserve">• </w:t>
      </w:r>
      <w:r>
        <w:rPr>
          <w:rFonts w:ascii="Times New Roman" w:hAnsi="Times New Roman"/>
          <w:b/>
          <w:sz w:val="19"/>
        </w:rPr>
        <w:t xml:space="preserve">Level 1 (Critical NC) – Deduction: -25 pts: </w:t>
      </w:r>
      <w:r>
        <w:rPr>
          <w:rFonts w:ascii="Times New Roman" w:hAnsi="Times New Roman"/>
          <w:sz w:val="19"/>
        </w:rPr>
        <w:t>Immediate biological, chemical, or physical health hazard, HACCP Critical Control Point (CCP) failure, rice acidification breach, thermal lethality failure, or bare-hand contact on ready-to-eat (RTE) sushi. Mandatory immediate process halt, product quarantine/condemnation, 5-Whys root cause inquiry (&lt; 24 hrs), and CAPA resolution (&lt; 7 days).</w:t>
      </w:r>
    </w:p>
    <w:p>
      <w:pPr>
        <w:spacing w:after="30"/>
        <w:ind w:left="360"/>
      </w:pPr>
      <w:r>
        <w:rPr>
          <w:rFonts w:ascii="Times New Roman" w:hAnsi="Times New Roman"/>
          <w:b/>
        </w:rPr>
        <w:t xml:space="preserve">• </w:t>
      </w:r>
      <w:r>
        <w:rPr>
          <w:rFonts w:ascii="Times New Roman" w:hAnsi="Times New Roman"/>
          <w:b/>
          <w:sz w:val="19"/>
        </w:rPr>
        <w:t xml:space="preserve">Level 2 (Major NC) – Deduction: -10 pts: </w:t>
      </w:r>
      <w:r>
        <w:rPr>
          <w:rFonts w:ascii="Times New Roman" w:hAnsi="Times New Roman"/>
          <w:sz w:val="19"/>
        </w:rPr>
        <w:t>Systemic Prerequisite Program (PRP) breakdown, missing mandatory verification logs for &gt; 1 shift, cross-contamination risks, cold-chain temperature drifts without immediate action, or service delays &gt; 15 minutes. CAPA implementation within 14 calendar days.</w:t>
      </w:r>
    </w:p>
    <w:p>
      <w:pPr>
        <w:spacing w:after="30"/>
        <w:ind w:left="360"/>
      </w:pPr>
      <w:r>
        <w:rPr>
          <w:rFonts w:ascii="Times New Roman" w:hAnsi="Times New Roman"/>
          <w:b/>
        </w:rPr>
        <w:t xml:space="preserve">• </w:t>
      </w:r>
      <w:r>
        <w:rPr>
          <w:rFonts w:ascii="Times New Roman" w:hAnsi="Times New Roman"/>
          <w:b/>
          <w:sz w:val="19"/>
        </w:rPr>
        <w:t xml:space="preserve">Level 3 (Minor NC) – Deduction: -2 pts: </w:t>
      </w:r>
      <w:r>
        <w:rPr>
          <w:rFonts w:ascii="Times New Roman" w:hAnsi="Times New Roman"/>
          <w:sz w:val="19"/>
        </w:rPr>
        <w:t>Isolated administrative slips, minor housekeeping deficiencies, single-point label formatting omissions, or minor physical wear without immediate food safety threat. Resolution within 30 calendar days.</w:t>
      </w:r>
    </w:p>
    <w:p>
      <w:pPr>
        <w:spacing w:before="120" w:after="40"/>
      </w:pPr>
      <w:r>
        <w:rPr>
          <w:rFonts w:ascii="Times New Roman" w:hAnsi="Times New Roman"/>
          <w:b/>
          <w:color w:val="1B365D"/>
          <w:sz w:val="21"/>
        </w:rPr>
        <w:t>2. The 8 Core Risk Factors (Philippines FDA / RA 10611 Model)</w:t>
      </w:r>
    </w:p>
    <w:p>
      <w:pPr>
        <w:spacing w:after="50"/>
      </w:pPr>
      <w:r>
        <w:rPr>
          <w:rFonts w:ascii="Times New Roman" w:hAnsi="Times New Roman"/>
          <w:sz w:val="19"/>
        </w:rPr>
        <w:t>The FSMS prioritizes and systematically controls the eight (8) definitive risk factors responsible for foodborne outbreaks:</w:t>
      </w:r>
    </w:p>
    <w:p>
      <w:pPr>
        <w:spacing w:after="30"/>
        <w:ind w:left="360"/>
      </w:pPr>
      <w:r>
        <w:rPr>
          <w:rFonts w:ascii="Times New Roman" w:hAnsi="Times New Roman"/>
          <w:b/>
        </w:rPr>
        <w:t xml:space="preserve">• </w:t>
      </w:r>
      <w:r>
        <w:rPr>
          <w:rFonts w:ascii="Times New Roman" w:hAnsi="Times New Roman"/>
          <w:b/>
          <w:sz w:val="19"/>
        </w:rPr>
        <w:t xml:space="preserve">1. Poor Personal Hygiene: </w:t>
      </w:r>
      <w:r>
        <w:rPr>
          <w:rFonts w:ascii="Times New Roman" w:hAnsi="Times New Roman"/>
          <w:sz w:val="19"/>
        </w:rPr>
        <w:t>Eliminated via strict 20-second handwashing, 70% alcohol antisepsis, mandatory glove transitions, zero bare-hand contact, and valid LGU Health Cards.</w:t>
      </w:r>
    </w:p>
    <w:p>
      <w:pPr>
        <w:spacing w:after="30"/>
        <w:ind w:left="360"/>
      </w:pPr>
      <w:r>
        <w:rPr>
          <w:rFonts w:ascii="Times New Roman" w:hAnsi="Times New Roman"/>
          <w:b/>
        </w:rPr>
        <w:t xml:space="preserve">• </w:t>
      </w:r>
      <w:r>
        <w:rPr>
          <w:rFonts w:ascii="Times New Roman" w:hAnsi="Times New Roman"/>
          <w:b/>
          <w:sz w:val="19"/>
        </w:rPr>
        <w:t xml:space="preserve">2. Improper Holding Temperature: </w:t>
      </w:r>
      <w:r>
        <w:rPr>
          <w:rFonts w:ascii="Times New Roman" w:hAnsi="Times New Roman"/>
          <w:sz w:val="19"/>
        </w:rPr>
        <w:t>Eliminated via continuous cold holding at &lt;= 4.0°C in the 4-door unit, hot-holding at &gt;= 60.0°C (target 65–80°C), and strict 20-min chilled bench dwell limits.</w:t>
      </w:r>
    </w:p>
    <w:p>
      <w:pPr>
        <w:spacing w:after="30"/>
        <w:ind w:left="360"/>
      </w:pPr>
      <w:r>
        <w:rPr>
          <w:rFonts w:ascii="Times New Roman" w:hAnsi="Times New Roman"/>
          <w:b/>
        </w:rPr>
        <w:t xml:space="preserve">• </w:t>
      </w:r>
      <w:r>
        <w:rPr>
          <w:rFonts w:ascii="Times New Roman" w:hAnsi="Times New Roman"/>
          <w:b/>
          <w:sz w:val="19"/>
        </w:rPr>
        <w:t xml:space="preserve">3. Inadequate Cooking (Kill Step): </w:t>
      </w:r>
      <w:r>
        <w:rPr>
          <w:rFonts w:ascii="Times New Roman" w:hAnsi="Times New Roman"/>
          <w:sz w:val="19"/>
        </w:rPr>
        <w:t>Controlled via HACCP CCP 3 (Karaage &gt;= 74°C, Tonkatsu &gt;= 70°C, Tempura &gt;= 63°C), CCP 4 (Ramen Broth Reheating &gt;= 74°C), and Appetizer Pan-Frying (Gyoza/Takoyaki &gt;= 74°C).</w:t>
      </w:r>
    </w:p>
    <w:p>
      <w:pPr>
        <w:spacing w:after="30"/>
        <w:ind w:left="360"/>
      </w:pPr>
      <w:r>
        <w:rPr>
          <w:rFonts w:ascii="Times New Roman" w:hAnsi="Times New Roman"/>
          <w:b/>
        </w:rPr>
        <w:t xml:space="preserve">• </w:t>
      </w:r>
      <w:r>
        <w:rPr>
          <w:rFonts w:ascii="Times New Roman" w:hAnsi="Times New Roman"/>
          <w:b/>
          <w:sz w:val="19"/>
        </w:rPr>
        <w:t xml:space="preserve">4. Cross-Contamination: </w:t>
      </w:r>
      <w:r>
        <w:rPr>
          <w:rFonts w:ascii="Times New Roman" w:hAnsi="Times New Roman"/>
          <w:sz w:val="19"/>
        </w:rPr>
        <w:t>Eliminated via 5-color cutting board segregation, dual-tong separation, makisu cling-film barriers, and two-step FOH table sanitization.</w:t>
      </w:r>
    </w:p>
    <w:p>
      <w:pPr>
        <w:spacing w:after="30"/>
        <w:ind w:left="360"/>
      </w:pPr>
      <w:r>
        <w:rPr>
          <w:rFonts w:ascii="Times New Roman" w:hAnsi="Times New Roman"/>
          <w:b/>
        </w:rPr>
        <w:t xml:space="preserve">• </w:t>
      </w:r>
      <w:r>
        <w:rPr>
          <w:rFonts w:ascii="Times New Roman" w:hAnsi="Times New Roman"/>
          <w:b/>
          <w:sz w:val="19"/>
        </w:rPr>
        <w:t xml:space="preserve">5. Food from Unsafe Sources: </w:t>
      </w:r>
      <w:r>
        <w:rPr>
          <w:rFonts w:ascii="Times New Roman" w:hAnsi="Times New Roman"/>
          <w:sz w:val="19"/>
        </w:rPr>
        <w:t>Controlled via HACCP CCP 1 intake acceptance (Chilled &lt;= 4°C, Frozen &lt;= -18°C), verified CTS transfer slips, and accredited supplier certification.</w:t>
      </w:r>
    </w:p>
    <w:p>
      <w:pPr>
        <w:spacing w:after="30"/>
        <w:ind w:left="360"/>
      </w:pPr>
      <w:r>
        <w:rPr>
          <w:rFonts w:ascii="Times New Roman" w:hAnsi="Times New Roman"/>
          <w:b/>
        </w:rPr>
        <w:t xml:space="preserve">• </w:t>
      </w:r>
      <w:r>
        <w:rPr>
          <w:rFonts w:ascii="Times New Roman" w:hAnsi="Times New Roman"/>
          <w:b/>
          <w:sz w:val="19"/>
        </w:rPr>
        <w:t xml:space="preserve">6. Contaminated Equipment: </w:t>
      </w:r>
      <w:r>
        <w:rPr>
          <w:rFonts w:ascii="Times New Roman" w:hAnsi="Times New Roman"/>
          <w:sz w:val="19"/>
        </w:rPr>
        <w:t>Eliminated via integrated 3-step warewashing in 2-compartment sinks with auxiliary chemical sanitizer tubs (50–100 ppm Chlorine / 200 ppm Quat), knife care, and weekly hood degreasing.</w:t>
      </w:r>
    </w:p>
    <w:p>
      <w:pPr>
        <w:spacing w:after="30"/>
        <w:ind w:left="360"/>
      </w:pPr>
      <w:r>
        <w:rPr>
          <w:rFonts w:ascii="Times New Roman" w:hAnsi="Times New Roman"/>
          <w:b/>
        </w:rPr>
        <w:t xml:space="preserve">• </w:t>
      </w:r>
      <w:r>
        <w:rPr>
          <w:rFonts w:ascii="Times New Roman" w:hAnsi="Times New Roman"/>
          <w:b/>
          <w:sz w:val="19"/>
        </w:rPr>
        <w:t xml:space="preserve">7. Water &amp; Ice Quality: </w:t>
      </w:r>
      <w:r>
        <w:rPr>
          <w:rFonts w:ascii="Times New Roman" w:hAnsi="Times New Roman"/>
          <w:sz w:val="19"/>
        </w:rPr>
        <w:t>Controlled via municipal deep-well carbon filtration, accredited commercial bagged ice sourcing with protective scoop holsters, and quarterly laboratory microbial potable testing.</w:t>
      </w:r>
    </w:p>
    <w:p>
      <w:pPr>
        <w:spacing w:after="30"/>
        <w:ind w:left="360"/>
      </w:pPr>
      <w:r>
        <w:rPr>
          <w:rFonts w:ascii="Times New Roman" w:hAnsi="Times New Roman"/>
          <w:b/>
        </w:rPr>
        <w:t xml:space="preserve">• </w:t>
      </w:r>
      <w:r>
        <w:rPr>
          <w:rFonts w:ascii="Times New Roman" w:hAnsi="Times New Roman"/>
          <w:b/>
          <w:sz w:val="19"/>
        </w:rPr>
        <w:t xml:space="preserve">8. Presence of Pests: </w:t>
      </w:r>
      <w:r>
        <w:rPr>
          <w:rFonts w:ascii="Times New Roman" w:hAnsi="Times New Roman"/>
          <w:sz w:val="19"/>
        </w:rPr>
        <w:t>Controlled via multi-barrier pest exclusion, magnetic insect door curtains, glue-board ILTs, zero floor cardboard, and licensed monthly PCO chemical treatments.</w:t>
      </w:r>
    </w:p>
    <w:p>
      <w:pPr>
        <w:spacing w:before="160" w:after="60"/>
      </w:pPr>
      <w:r>
        <w:rPr>
          <w:rFonts w:ascii="Times New Roman" w:hAnsi="Times New Roman"/>
          <w:b/>
          <w:color w:val="1B365D"/>
          <w:sz w:val="24"/>
        </w:rPr>
        <w:t>II. Operational Safety Modules &amp; Document Control Taxonomy</w:t>
      </w:r>
    </w:p>
    <w:p>
      <w:pPr>
        <w:spacing w:after="50"/>
      </w:pPr>
      <w:r>
        <w:rPr>
          <w:rFonts w:ascii="Times New Roman" w:hAnsi="Times New Roman"/>
          <w:sz w:val="19"/>
        </w:rPr>
        <w:t>The operational safety system is organized into six (6) integrated modules mapping all 8 Prerequisite Programs (PRPs), 23 Standard Operating Procedures (SOPs &amp; SSOPs), and 31 Verification Toolkit Forms:</w:t>
      </w:r>
    </w:p>
    <w:p>
      <w:pPr>
        <w:spacing w:before="120" w:after="40"/>
      </w:pPr>
      <w:r>
        <w:rPr>
          <w:rFonts w:ascii="Times New Roman" w:hAnsi="Times New Roman"/>
          <w:b/>
          <w:color w:val="1B365D"/>
          <w:sz w:val="21"/>
        </w:rPr>
        <w:t>Module 1: Personnel Hygiene &amp; Behavioral Control</w:t>
      </w:r>
    </w:p>
    <w:p>
      <w:pPr>
        <w:spacing w:after="50"/>
      </w:pPr>
      <w:r>
        <w:rPr>
          <w:rFonts w:ascii="Times New Roman" w:hAnsi="Times New Roman"/>
          <w:sz w:val="19"/>
        </w:rPr>
        <w:t>Objective: Eliminate human pathogen transmission (Norovirus, Staphylococcus aureus, Hepatitis A) into ready-to-eat sushi, sashimi, and cooked foods.</w:t>
      </w:r>
    </w:p>
    <w:p>
      <w:pPr>
        <w:spacing w:after="30"/>
        <w:ind w:left="360"/>
      </w:pPr>
      <w:r>
        <w:rPr>
          <w:rFonts w:ascii="Times New Roman" w:hAnsi="Times New Roman"/>
          <w:b/>
        </w:rPr>
        <w:t xml:space="preserve">• </w:t>
      </w:r>
      <w:r>
        <w:rPr>
          <w:rFonts w:ascii="Times New Roman" w:hAnsi="Times New Roman"/>
          <w:b/>
          <w:sz w:val="19"/>
        </w:rPr>
        <w:t xml:space="preserve">Policy Alignment: PRP-GHP-01 – </w:t>
      </w:r>
      <w:r>
        <w:rPr>
          <w:rFonts w:ascii="Times New Roman" w:hAnsi="Times New Roman"/>
          <w:sz w:val="19"/>
        </w:rPr>
        <w:t>Mandatory clean company uniforms, hairnets, beard nets, zero jewelry/rings/watches, blue detectable waterproof bandages covered with clean food-grade gloves, 48-hour mandatory symptom-free exclusion for gastrointestinal illnesses, and 100% valid LGU Health Cards prominently displayed on-site.</w:t>
      </w:r>
    </w:p>
    <w:p>
      <w:pPr>
        <w:spacing w:after="30"/>
        <w:ind w:left="360"/>
      </w:pPr>
      <w:r>
        <w:rPr>
          <w:rFonts w:ascii="Times New Roman" w:hAnsi="Times New Roman"/>
          <w:b/>
        </w:rPr>
        <w:t xml:space="preserve">• </w:t>
      </w:r>
      <w:r>
        <w:rPr>
          <w:rFonts w:ascii="Times New Roman" w:hAnsi="Times New Roman"/>
          <w:b/>
          <w:sz w:val="19"/>
        </w:rPr>
        <w:t xml:space="preserve">Standard Procedures: SOP-SUS-05 – </w:t>
      </w:r>
      <w:r>
        <w:rPr>
          <w:rFonts w:ascii="Times New Roman" w:hAnsi="Times New Roman"/>
          <w:sz w:val="19"/>
        </w:rPr>
        <w:t>Mandatory 6-step 20-second mechanical hand scrub at dedicated handwashing sinks, application of 3 mL 70% ethyl alcohol rub, aseptic glove donning, mandatory glove-change triggers (task transitions, touching non-food surfaces, max 60 min continuous rolling), zero bare-hand contact on all RTE ingredients, and immediate food condemnation upon violation.</w:t>
      </w:r>
    </w:p>
    <w:p>
      <w:pPr>
        <w:spacing w:after="30"/>
        <w:ind w:left="360"/>
      </w:pPr>
      <w:r>
        <w:rPr>
          <w:rFonts w:ascii="Times New Roman" w:hAnsi="Times New Roman"/>
          <w:b/>
        </w:rPr>
        <w:t xml:space="preserve">• </w:t>
      </w:r>
      <w:r>
        <w:rPr>
          <w:rFonts w:ascii="Times New Roman" w:hAnsi="Times New Roman"/>
          <w:b/>
          <w:sz w:val="19"/>
        </w:rPr>
        <w:t xml:space="preserve">Verification Toolkit Forms: </w:t>
      </w:r>
      <w:r>
        <w:rPr>
          <w:rFonts w:ascii="Times New Roman" w:hAnsi="Times New Roman"/>
          <w:sz w:val="19"/>
        </w:rPr>
        <w:t>LOG-GHP-01 (Daily Staff Wellness &amp; Hygiene Verification Log); LOG-SUS-05 (Daily Sushi Station Hand Antisepsis &amp; Glove Compliance Log); LOG-DEV-01 (Deviation Log).</w:t>
      </w:r>
    </w:p>
    <w:p>
      <w:pPr>
        <w:spacing w:before="120" w:after="40"/>
      </w:pPr>
      <w:r>
        <w:rPr>
          <w:rFonts w:ascii="Times New Roman" w:hAnsi="Times New Roman"/>
          <w:b/>
          <w:color w:val="1B365D"/>
          <w:sz w:val="21"/>
        </w:rPr>
        <w:t>Module 2: Thermal Lethality, Rice Acidification (CCP 2) &amp; Calibration</w:t>
      </w:r>
    </w:p>
    <w:p>
      <w:pPr>
        <w:spacing w:after="50"/>
      </w:pPr>
      <w:r>
        <w:rPr>
          <w:rFonts w:ascii="Times New Roman" w:hAnsi="Times New Roman"/>
          <w:sz w:val="19"/>
        </w:rPr>
        <w:t>Objective: Inhibit Bacillus cereus toxin formation in sushi rice, execute verified thermal destruction of vegetative pathogens (Salmonella, Campylobacter, Listeria), and guarantee measurement precision.</w:t>
      </w:r>
    </w:p>
    <w:p>
      <w:pPr>
        <w:spacing w:after="30"/>
        <w:ind w:left="360"/>
      </w:pPr>
      <w:r>
        <w:rPr>
          <w:rFonts w:ascii="Times New Roman" w:hAnsi="Times New Roman"/>
          <w:b/>
        </w:rPr>
        <w:t xml:space="preserve">• </w:t>
      </w:r>
      <w:r>
        <w:rPr>
          <w:rFonts w:ascii="Times New Roman" w:hAnsi="Times New Roman"/>
          <w:b/>
          <w:sz w:val="19"/>
        </w:rPr>
        <w:t xml:space="preserve">Policy Alignment: </w:t>
      </w:r>
      <w:r>
        <w:rPr>
          <w:rFonts w:ascii="Times New Roman" w:hAnsi="Times New Roman"/>
          <w:sz w:val="19"/>
        </w:rPr>
        <w:t>PRP-COLD-01 (Cold Chain Management &amp; Refrigeration); PRP-SAN-01 (Chemical Safety).</w:t>
      </w:r>
    </w:p>
    <w:p>
      <w:pPr>
        <w:spacing w:after="30"/>
        <w:ind w:left="360"/>
      </w:pPr>
      <w:r>
        <w:rPr>
          <w:rFonts w:ascii="Times New Roman" w:hAnsi="Times New Roman"/>
          <w:b/>
        </w:rPr>
        <w:t xml:space="preserve">• </w:t>
      </w:r>
      <w:r>
        <w:rPr>
          <w:rFonts w:ascii="Times New Roman" w:hAnsi="Times New Roman"/>
          <w:b/>
          <w:sz w:val="19"/>
        </w:rPr>
        <w:t xml:space="preserve">• SOP-SUS-01 (Sushi Rice Production, Acidification &amp; TPHC - CCP 2): </w:t>
      </w:r>
      <w:r>
        <w:rPr>
          <w:rFonts w:ascii="Times New Roman" w:hAnsi="Times New Roman"/>
          <w:sz w:val="19"/>
        </w:rPr>
        <w:t>Preparation of Shari in 3.0 kg batches, immediate uniform blending with 450 mL seasoned vinegar, mandatory calibrated pH testing (Critical Limit: pH &lt;= 4.40; Target: 4.10–4.30) for CCP 2, and 4-hour ambient TPHC holding with mandatory discard tags.</w:t>
      </w:r>
    </w:p>
    <w:p>
      <w:pPr>
        <w:spacing w:after="30"/>
        <w:ind w:left="360"/>
      </w:pPr>
      <w:r>
        <w:rPr>
          <w:rFonts w:ascii="Times New Roman" w:hAnsi="Times New Roman"/>
          <w:b/>
        </w:rPr>
        <w:t xml:space="preserve">• </w:t>
      </w:r>
      <w:r>
        <w:rPr>
          <w:rFonts w:ascii="Times New Roman" w:hAnsi="Times New Roman"/>
          <w:b/>
          <w:sz w:val="19"/>
        </w:rPr>
        <w:t xml:space="preserve">• SOP-HOT-01 (Deep-Frying Thermal Lethality &amp; Oil TPM - CCP 3): </w:t>
      </w:r>
      <w:r>
        <w:rPr>
          <w:rFonts w:ascii="Times New Roman" w:hAnsi="Times New Roman"/>
          <w:sz w:val="19"/>
        </w:rPr>
        <w:t>Oil preheating (170°C–180°C), anti-overcrowding constraints, core probe verification (Karaage &gt;= 74°C, Tonkatsu &gt;= 70°C, Tempura &gt;= 63°C for 15s), dual-tong segregation (Yellow/Red raw vs. Stainless cooked), 2x daily oil TPM testing (Limit: TPM &lt;= 24.0%), and nightly filtering.</w:t>
      </w:r>
    </w:p>
    <w:p>
      <w:pPr>
        <w:spacing w:after="30"/>
        <w:ind w:left="360"/>
      </w:pPr>
      <w:r>
        <w:rPr>
          <w:rFonts w:ascii="Times New Roman" w:hAnsi="Times New Roman"/>
          <w:b/>
        </w:rPr>
        <w:t xml:space="preserve">• </w:t>
      </w:r>
      <w:r>
        <w:rPr>
          <w:rFonts w:ascii="Times New Roman" w:hAnsi="Times New Roman"/>
          <w:b/>
          <w:sz w:val="19"/>
        </w:rPr>
        <w:t xml:space="preserve">• SOP-HOT-02 (Ramen Broth Rapid Reheating &amp; Hot Holding - CCP 4): </w:t>
      </w:r>
      <w:r>
        <w:rPr>
          <w:rFonts w:ascii="Times New Roman" w:hAnsi="Times New Roman"/>
          <w:sz w:val="19"/>
        </w:rPr>
        <w:t>Direct-flame/induction boiling reheat (&gt;= 74.0°C / 165°F within 2 hrs) for CCP 4, continuous hot-holding at &gt;= 60.0°C (target 65–80°C), 4-hour maximum holding limit, zero top-filling, and sanitary two-spoon sensory tasting.</w:t>
      </w:r>
    </w:p>
    <w:p>
      <w:pPr>
        <w:spacing w:after="30"/>
        <w:ind w:left="360"/>
      </w:pPr>
      <w:r>
        <w:rPr>
          <w:rFonts w:ascii="Times New Roman" w:hAnsi="Times New Roman"/>
          <w:b/>
        </w:rPr>
        <w:t xml:space="preserve">• </w:t>
      </w:r>
      <w:r>
        <w:rPr>
          <w:rFonts w:ascii="Times New Roman" w:hAnsi="Times New Roman"/>
          <w:b/>
          <w:sz w:val="19"/>
        </w:rPr>
        <w:t xml:space="preserve">• SOP-HOT-03 (Sizzling Plate, Teppanyaki &amp; Hotpot Assembly): </w:t>
      </w:r>
      <w:r>
        <w:rPr>
          <w:rFonts w:ascii="Times New Roman" w:hAnsi="Times New Roman"/>
          <w:sz w:val="19"/>
        </w:rPr>
        <w:t>Cast-iron pre-heating to &gt;= 200.0°C (infrared verified) for secondary meat searing (&gt;= 70°C), 3-inch anti-splatter paper collar fitting, 60-second table delivery, sukiyaki broth boiling (&gt;= 90°C), and zero-submersion wooden baseboard wiping.</w:t>
      </w:r>
    </w:p>
    <w:p>
      <w:pPr>
        <w:spacing w:after="30"/>
        <w:ind w:left="360"/>
      </w:pPr>
      <w:r>
        <w:rPr>
          <w:rFonts w:ascii="Times New Roman" w:hAnsi="Times New Roman"/>
          <w:b/>
        </w:rPr>
        <w:t xml:space="preserve">• </w:t>
      </w:r>
      <w:r>
        <w:rPr>
          <w:rFonts w:ascii="Times New Roman" w:hAnsi="Times New Roman"/>
          <w:b/>
          <w:sz w:val="19"/>
        </w:rPr>
        <w:t xml:space="preserve">• SOP-HOT-04 (Appetizer Pan-Frying Core Temperature SOP): </w:t>
      </w:r>
      <w:r>
        <w:rPr>
          <w:rFonts w:ascii="Times New Roman" w:hAnsi="Times New Roman"/>
          <w:sz w:val="19"/>
        </w:rPr>
        <w:t>Direct-from-freezer sear-and-steam method (Hane-Gyoza: 1.5m base sear + 4–5m dome steam + 1m skirt crisping), takoyaki frying (175°C for 5m), core probe verification (&gt;= 74.0°C for 15s), and tare hygiene.</w:t>
      </w:r>
    </w:p>
    <w:p>
      <w:pPr>
        <w:spacing w:after="30"/>
        <w:ind w:left="360"/>
      </w:pPr>
      <w:r>
        <w:rPr>
          <w:rFonts w:ascii="Times New Roman" w:hAnsi="Times New Roman"/>
          <w:b/>
        </w:rPr>
        <w:t xml:space="preserve">• </w:t>
      </w:r>
      <w:r>
        <w:rPr>
          <w:rFonts w:ascii="Times New Roman" w:hAnsi="Times New Roman"/>
          <w:b/>
          <w:sz w:val="19"/>
        </w:rPr>
        <w:t xml:space="preserve">• SOP-HOT-05 (Digital Stem Thermometer Ice-Slurry Calibration SOP): </w:t>
      </w:r>
      <w:r>
        <w:rPr>
          <w:rFonts w:ascii="Times New Roman" w:hAnsi="Times New Roman"/>
          <w:sz w:val="19"/>
        </w:rPr>
        <w:t>Weekly Monday (09:00 AM) ice-slurry calibration for 100% of store thermometers (0.0°C ± 0.5°C / 32.0°F ± 1.0°F), electronic CAL resets, mandatory post-drop calibration checks, physical red tag-out quarantine for drifting probes, and 70% alcohol stem wiping.</w:t>
      </w:r>
    </w:p>
    <w:p>
      <w:pPr>
        <w:spacing w:after="30"/>
        <w:ind w:left="360"/>
      </w:pPr>
      <w:r>
        <w:rPr>
          <w:rFonts w:ascii="Times New Roman" w:hAnsi="Times New Roman"/>
          <w:b/>
        </w:rPr>
        <w:t xml:space="preserve">• </w:t>
      </w:r>
      <w:r>
        <w:rPr>
          <w:rFonts w:ascii="Times New Roman" w:hAnsi="Times New Roman"/>
          <w:b/>
          <w:sz w:val="19"/>
        </w:rPr>
        <w:t xml:space="preserve">• SOP-THW-01 (Controlled Cold-Chain Thawing SOP): </w:t>
      </w:r>
      <w:r>
        <w:rPr>
          <w:rFonts w:ascii="Times New Roman" w:hAnsi="Times New Roman"/>
          <w:sz w:val="19"/>
        </w:rPr>
        <w:t>Right Chiller thawing at &lt;= 3.3°C ambient / &lt;= 4.0°C core (max 72 hrs) and emergency cold running water thawing (&lt; 2 hrs in sanitized prep sink at &lt;= 21°C).</w:t>
      </w:r>
    </w:p>
    <w:p>
      <w:pPr>
        <w:spacing w:after="30"/>
        <w:ind w:left="360"/>
      </w:pPr>
      <w:r>
        <w:rPr>
          <w:rFonts w:ascii="Times New Roman" w:hAnsi="Times New Roman"/>
          <w:b/>
        </w:rPr>
        <w:t xml:space="preserve">• </w:t>
      </w:r>
      <w:r>
        <w:rPr>
          <w:rFonts w:ascii="Times New Roman" w:hAnsi="Times New Roman"/>
          <w:b/>
          <w:sz w:val="19"/>
        </w:rPr>
        <w:t xml:space="preserve">Verification Toolkit Forms: </w:t>
      </w:r>
      <w:r>
        <w:rPr>
          <w:rFonts w:ascii="Times New Roman" w:hAnsi="Times New Roman"/>
          <w:sz w:val="19"/>
        </w:rPr>
        <w:t>LOG-SUS-01 (Sushi Rice pH &amp; TPHC Log - CCP 2); LOG-HOT-01 (Deep-Frying Lethality &amp; TPM Log - CCP 3); LOG-HOT-02 (Ramen Broth Reheating Log - CCP 4); LOG-HOT-03 (Sizzling Plate Log); LOG-HOT-04 (Appetizer Core Temp Log); LOG-HOT-05 / LOG-CAL-01 (Weekly Thermometer Calibration Log); LOG-THW-01 (Thawing Log).</w:t>
      </w:r>
    </w:p>
    <w:p>
      <w:pPr>
        <w:spacing w:before="120" w:after="40"/>
      </w:pPr>
      <w:r>
        <w:rPr>
          <w:rFonts w:ascii="Times New Roman" w:hAnsi="Times New Roman"/>
          <w:b/>
          <w:color w:val="1B365D"/>
          <w:sz w:val="21"/>
        </w:rPr>
        <w:t>Module 3: Sushi Bar Operations, Raw Seafood &amp; Cold Line Controls</w:t>
      </w:r>
    </w:p>
    <w:p>
      <w:pPr>
        <w:spacing w:after="50"/>
      </w:pPr>
      <w:r>
        <w:rPr>
          <w:rFonts w:ascii="Times New Roman" w:hAnsi="Times New Roman"/>
          <w:sz w:val="19"/>
        </w:rPr>
        <w:t>Objective: Prevent raw seafood cross-contamination, eliminate scombroid histamine poisoning, prevent sauce spoilage, and resolve Maki ticket bottlenecks.</w:t>
      </w:r>
    </w:p>
    <w:p>
      <w:pPr>
        <w:spacing w:after="30"/>
        <w:ind w:left="360"/>
      </w:pPr>
      <w:r>
        <w:rPr>
          <w:rFonts w:ascii="Times New Roman" w:hAnsi="Times New Roman"/>
          <w:b/>
        </w:rPr>
        <w:t xml:space="preserve">• </w:t>
      </w:r>
      <w:r>
        <w:rPr>
          <w:rFonts w:ascii="Times New Roman" w:hAnsi="Times New Roman"/>
          <w:b/>
          <w:sz w:val="19"/>
        </w:rPr>
        <w:t xml:space="preserve">Policy Alignment: </w:t>
      </w:r>
      <w:r>
        <w:rPr>
          <w:rFonts w:ascii="Times New Roman" w:hAnsi="Times New Roman"/>
          <w:sz w:val="19"/>
        </w:rPr>
        <w:t>PRP-ALLERG-01 (Big 9 Allergen Management &amp; Dedicated Purple Board); PRP-FAC-01 (Facility Smallwares).</w:t>
      </w:r>
    </w:p>
    <w:p>
      <w:pPr>
        <w:spacing w:after="30"/>
        <w:ind w:left="360"/>
      </w:pPr>
      <w:r>
        <w:rPr>
          <w:rFonts w:ascii="Times New Roman" w:hAnsi="Times New Roman"/>
          <w:b/>
        </w:rPr>
        <w:t xml:space="preserve">• </w:t>
      </w:r>
      <w:r>
        <w:rPr>
          <w:rFonts w:ascii="Times New Roman" w:hAnsi="Times New Roman"/>
          <w:b/>
          <w:sz w:val="19"/>
        </w:rPr>
        <w:t xml:space="preserve">• SOP-SUS-02 (Ready-to-Eat Maki Assembly &amp; Makisu Cling-Film Barrier SSOP): </w:t>
      </w:r>
      <w:r>
        <w:rPr>
          <w:rFonts w:ascii="Times New Roman" w:hAnsi="Times New Roman"/>
          <w:sz w:val="19"/>
        </w:rPr>
        <w:t>White RTE cutting board mandate, hermetic 3-layer food-grade plastic cling-film wrapping of bamboo Makisu mats, mandatory 2-hour cling-film stripping and replacement, Yanagiba knife 70% alcohol wipes between cuts, Tezu solution refreshment, and 12–15 minute ticket turnaround (resolving Audit Findings 1.1 and 1.2).</w:t>
      </w:r>
    </w:p>
    <w:p>
      <w:pPr>
        <w:spacing w:after="30"/>
        <w:ind w:left="360"/>
      </w:pPr>
      <w:r>
        <w:rPr>
          <w:rFonts w:ascii="Times New Roman" w:hAnsi="Times New Roman"/>
          <w:b/>
        </w:rPr>
        <w:t xml:space="preserve">• </w:t>
      </w:r>
      <w:r>
        <w:rPr>
          <w:rFonts w:ascii="Times New Roman" w:hAnsi="Times New Roman"/>
          <w:b/>
          <w:sz w:val="19"/>
        </w:rPr>
        <w:t xml:space="preserve">• SOP-SUS-03 (Raw Sashimi &amp; Nigiri Slicing &amp; 20-Min Bench Dwell SOP): </w:t>
      </w:r>
      <w:r>
        <w:rPr>
          <w:rFonts w:ascii="Times New Roman" w:hAnsi="Times New Roman"/>
          <w:sz w:val="19"/>
        </w:rPr>
        <w:t>Micro-batch retrieval from Right Chiller Tier 2 (&lt;= 3.3°C), nested double-pan crushed ice bed staging on bench, strict 20-minute maximum ambient bench dwell limit (fish temp &lt;= 4.0°C), single-stroke Hiki-Kiri pull slicing, Blue (raw fish) vs. White (RTE nigiri) cutting board separation, and immediate discard if dwell &gt; 2 hrs or temp &gt; 10°C.</w:t>
      </w:r>
    </w:p>
    <w:p>
      <w:pPr>
        <w:spacing w:after="30"/>
        <w:ind w:left="360"/>
      </w:pPr>
      <w:r>
        <w:rPr>
          <w:rFonts w:ascii="Times New Roman" w:hAnsi="Times New Roman"/>
          <w:b/>
        </w:rPr>
        <w:t xml:space="preserve">• </w:t>
      </w:r>
      <w:r>
        <w:rPr>
          <w:rFonts w:ascii="Times New Roman" w:hAnsi="Times New Roman"/>
          <w:b/>
          <w:sz w:val="19"/>
        </w:rPr>
        <w:t xml:space="preserve">• SOP-SUS-04 (Cold Sauce &amp; Squeeze Bottle Refrigeration &amp; Zero Top-Filling SOP): </w:t>
      </w:r>
      <w:r>
        <w:rPr>
          <w:rFonts w:ascii="Times New Roman" w:hAnsi="Times New Roman"/>
          <w:sz w:val="19"/>
        </w:rPr>
        <w:t>Continuous refrigeration of egg/dairy/sugar sauces (Japanese Mayo, Spicy Mayo, Tare) on Right Chiller Tier 1 (&lt;= 4.0°C), absolute prohibition of top-filling (mandatory empty-wash-refill cycle), 5-field waterproof secondary date labels (max 7 days shelf life), 2-hour service bench limits, mid-shift nozzle alcohol wipes, and 3-piece daily disassembly wash.</w:t>
      </w:r>
    </w:p>
    <w:p>
      <w:pPr>
        <w:spacing w:after="30"/>
        <w:ind w:left="360"/>
      </w:pPr>
      <w:r>
        <w:rPr>
          <w:rFonts w:ascii="Times New Roman" w:hAnsi="Times New Roman"/>
          <w:b/>
        </w:rPr>
        <w:t xml:space="preserve">• </w:t>
      </w:r>
      <w:r>
        <w:rPr>
          <w:rFonts w:ascii="Times New Roman" w:hAnsi="Times New Roman"/>
          <w:b/>
          <w:sz w:val="19"/>
        </w:rPr>
        <w:t xml:space="preserve">Verification Toolkit Forms: </w:t>
      </w:r>
      <w:r>
        <w:rPr>
          <w:rFonts w:ascii="Times New Roman" w:hAnsi="Times New Roman"/>
          <w:sz w:val="19"/>
        </w:rPr>
        <w:t>LOG-SUS-02 (Maki Assembly &amp; Makisu Log); LOG-SUS-03 (Sashimi Bench Dwell &amp; Temp Log); LOG-SUS-04 (Cold Sauce &amp; Zero Top-Filling Log); LOG-ALLERG-01 (Daily Allergen Segregation Log).</w:t>
      </w:r>
    </w:p>
    <w:p>
      <w:pPr>
        <w:spacing w:before="120" w:after="40"/>
      </w:pPr>
      <w:r>
        <w:rPr>
          <w:rFonts w:ascii="Times New Roman" w:hAnsi="Times New Roman"/>
          <w:b/>
          <w:color w:val="1B365D"/>
          <w:sz w:val="21"/>
        </w:rPr>
        <w:t>Module 4: Commissary Supply Chain, Traceability &amp; Chiller Storage</w:t>
      </w:r>
    </w:p>
    <w:p>
      <w:pPr>
        <w:spacing w:after="50"/>
      </w:pPr>
      <w:r>
        <w:rPr>
          <w:rFonts w:ascii="Times New Roman" w:hAnsi="Times New Roman"/>
          <w:sz w:val="19"/>
        </w:rPr>
        <w:t>Objective: Maintain unbroken cold-chain during owner-vehicle commissary transfers, establish complete batch traceability, and enforce flawless refrigeration organization.</w:t>
      </w:r>
    </w:p>
    <w:p>
      <w:pPr>
        <w:spacing w:after="30"/>
        <w:ind w:left="360"/>
      </w:pPr>
      <w:r>
        <w:rPr>
          <w:rFonts w:ascii="Times New Roman" w:hAnsi="Times New Roman"/>
          <w:b/>
        </w:rPr>
        <w:t xml:space="preserve">• </w:t>
      </w:r>
      <w:r>
        <w:rPr>
          <w:rFonts w:ascii="Times New Roman" w:hAnsi="Times New Roman"/>
          <w:b/>
          <w:sz w:val="19"/>
        </w:rPr>
        <w:t xml:space="preserve">Policy Alignment: </w:t>
      </w:r>
      <w:r>
        <w:rPr>
          <w:rFonts w:ascii="Times New Roman" w:hAnsi="Times New Roman"/>
          <w:sz w:val="19"/>
        </w:rPr>
        <w:t>PRP-TRACE-01 (Commissary Transfer Traceability); PRP-COLD-01 (Refrigeration Infrastructure).</w:t>
      </w:r>
    </w:p>
    <w:p>
      <w:pPr>
        <w:spacing w:after="30"/>
        <w:ind w:left="360"/>
      </w:pPr>
      <w:r>
        <w:rPr>
          <w:rFonts w:ascii="Times New Roman" w:hAnsi="Times New Roman"/>
          <w:b/>
        </w:rPr>
        <w:t xml:space="preserve">• </w:t>
      </w:r>
      <w:r>
        <w:rPr>
          <w:rFonts w:ascii="Times New Roman" w:hAnsi="Times New Roman"/>
          <w:b/>
          <w:sz w:val="19"/>
        </w:rPr>
        <w:t xml:space="preserve">• SOP-REC-01 (Commissary Delivery Intake &amp; Temperature Acceptance - CCP 1): </w:t>
      </w:r>
      <w:r>
        <w:rPr>
          <w:rFonts w:ascii="Times New Roman" w:hAnsi="Times New Roman"/>
          <w:sz w:val="19"/>
        </w:rPr>
        <w:t>Intake inspection of owner SUV transport (pre-chilled insulated coolers with frozen gel packs), temperature verification (Chilled &lt;= 4.0°C / Frozen &lt;= -18.0°C for CCP 1), container integrity check, and CTS transfer slip archiving.</w:t>
      </w:r>
    </w:p>
    <w:p>
      <w:pPr>
        <w:spacing w:after="30"/>
        <w:ind w:left="360"/>
      </w:pPr>
      <w:r>
        <w:rPr>
          <w:rFonts w:ascii="Times New Roman" w:hAnsi="Times New Roman"/>
          <w:b/>
        </w:rPr>
        <w:t xml:space="preserve">• </w:t>
      </w:r>
      <w:r>
        <w:rPr>
          <w:rFonts w:ascii="Times New Roman" w:hAnsi="Times New Roman"/>
          <w:b/>
          <w:sz w:val="19"/>
        </w:rPr>
        <w:t xml:space="preserve">• SOP-STO-01 (Right-Side Chiller Vertical Storage &amp; 100% Date-Marking SOP): </w:t>
      </w:r>
      <w:r>
        <w:rPr>
          <w:rFonts w:ascii="Times New Roman" w:hAnsi="Times New Roman"/>
          <w:sz w:val="19"/>
        </w:rPr>
        <w:t>Vertical storage hierarchy in Right Chiller (Tier 1 Top: Cooked/RTE/Sauces/Produce; Tier 2: Thawing Fish Saku; Tier 3: Thawing Pork/Beef; Tier 4 Bottom: Raw Chicken &amp; Drip Pan), mandatory 5-field secondary date-marking, daily 09:30 AM sweep, and strict FIFO rotation.</w:t>
      </w:r>
    </w:p>
    <w:p>
      <w:pPr>
        <w:spacing w:after="30"/>
        <w:ind w:left="360"/>
      </w:pPr>
      <w:r>
        <w:rPr>
          <w:rFonts w:ascii="Times New Roman" w:hAnsi="Times New Roman"/>
          <w:b/>
        </w:rPr>
        <w:t xml:space="preserve">• </w:t>
      </w:r>
      <w:r>
        <w:rPr>
          <w:rFonts w:ascii="Times New Roman" w:hAnsi="Times New Roman"/>
          <w:b/>
          <w:sz w:val="19"/>
        </w:rPr>
        <w:t xml:space="preserve">Verification Toolkit Forms: </w:t>
      </w:r>
      <w:r>
        <w:rPr>
          <w:rFonts w:ascii="Times New Roman" w:hAnsi="Times New Roman"/>
          <w:sz w:val="19"/>
        </w:rPr>
        <w:t>LOG-REC-01 (Commissary Intake &amp; Temp Log - CCP 1); LOG-LABEL-01 (Daily Storage &amp; Date-Marking Sweep Log); LOG-TRACE-01 (Traceability &amp; Supplier Registry); LOG-TEMP-01 (Daily 4-Door Unit Temperature Monitoring Log).</w:t>
      </w:r>
    </w:p>
    <w:p>
      <w:pPr>
        <w:spacing w:before="120" w:after="40"/>
      </w:pPr>
      <w:r>
        <w:rPr>
          <w:rFonts w:ascii="Times New Roman" w:hAnsi="Times New Roman"/>
          <w:b/>
          <w:color w:val="1B365D"/>
          <w:sz w:val="21"/>
        </w:rPr>
        <w:t>Module 5: Warewashing, Sanitation, Facility Maintenance &amp; Pest Exclusion</w:t>
      </w:r>
    </w:p>
    <w:p>
      <w:pPr>
        <w:spacing w:after="50"/>
      </w:pPr>
      <w:r>
        <w:rPr>
          <w:rFonts w:ascii="Times New Roman" w:hAnsi="Times New Roman"/>
          <w:sz w:val="19"/>
        </w:rPr>
        <w:t>Objective: Achieve complete chemical sanitization across 2-compartment sink constraints, eliminate floor slipperiness without trench drains, maintain pristine exhaust/refrigeration hardware, and ensure ice safety.</w:t>
      </w:r>
    </w:p>
    <w:p>
      <w:pPr>
        <w:spacing w:after="30"/>
        <w:ind w:left="360"/>
      </w:pPr>
      <w:r>
        <w:rPr>
          <w:rFonts w:ascii="Times New Roman" w:hAnsi="Times New Roman"/>
          <w:b/>
        </w:rPr>
        <w:t xml:space="preserve">• </w:t>
      </w:r>
      <w:r>
        <w:rPr>
          <w:rFonts w:ascii="Times New Roman" w:hAnsi="Times New Roman"/>
          <w:b/>
          <w:sz w:val="19"/>
        </w:rPr>
        <w:t xml:space="preserve">Policy Alignment: </w:t>
      </w:r>
      <w:r>
        <w:rPr>
          <w:rFonts w:ascii="Times New Roman" w:hAnsi="Times New Roman"/>
          <w:sz w:val="19"/>
        </w:rPr>
        <w:t>PRP-SAN-01 (Chemical Safety &amp; Titration); PRP-FAC-01 (Facility &amp; Flooring); PRP-IPM-01 (Integrated Pest Management); PRP-WAT-01 (Water Supply &amp; Bagged Ice).</w:t>
      </w:r>
    </w:p>
    <w:p>
      <w:pPr>
        <w:spacing w:after="30"/>
        <w:ind w:left="360"/>
      </w:pPr>
      <w:r>
        <w:rPr>
          <w:rFonts w:ascii="Times New Roman" w:hAnsi="Times New Roman"/>
          <w:b/>
        </w:rPr>
        <w:t xml:space="preserve">• </w:t>
      </w:r>
      <w:r>
        <w:rPr>
          <w:rFonts w:ascii="Times New Roman" w:hAnsi="Times New Roman"/>
          <w:b/>
          <w:sz w:val="19"/>
        </w:rPr>
        <w:t xml:space="preserve">• SSOP-CLN-01 (Two-Compartment Sink Warewashing with Auxiliary Tub SSOP): </w:t>
      </w:r>
      <w:r>
        <w:rPr>
          <w:rFonts w:ascii="Times New Roman" w:hAnsi="Times New Roman"/>
          <w:sz w:val="19"/>
        </w:rPr>
        <w:t>Pre-scraping and sorting, Basin 1 hot detergent wash (&gt;= 45.0°C), Basin 2 clean potable rinse, Step 3 auxiliary NSF tub immersion (50–100 ppm Chlorine or 200 ppm Quat for strictly &gt;= 60 seconds), mandatory 2-hour chemical titration, inverted air-drying on wire racks, and absolute zero towel drying.</w:t>
      </w:r>
    </w:p>
    <w:p>
      <w:pPr>
        <w:spacing w:after="30"/>
        <w:ind w:left="360"/>
      </w:pPr>
      <w:r>
        <w:rPr>
          <w:rFonts w:ascii="Times New Roman" w:hAnsi="Times New Roman"/>
          <w:b/>
        </w:rPr>
        <w:t xml:space="preserve">• </w:t>
      </w:r>
      <w:r>
        <w:rPr>
          <w:rFonts w:ascii="Times New Roman" w:hAnsi="Times New Roman"/>
          <w:b/>
          <w:sz w:val="19"/>
        </w:rPr>
        <w:t xml:space="preserve">• SSOP-CLN-02 (Knife, Cutting Board &amp; Smallwares Sanitation Protocol): </w:t>
      </w:r>
      <w:r>
        <w:rPr>
          <w:rFonts w:ascii="Times New Roman" w:hAnsi="Times New Roman"/>
          <w:sz w:val="19"/>
        </w:rPr>
        <w:t>5-color board allocation (White/Blue/Yellow/Red/Purple) on non-slip mats, 2-hour mid-shift Sanitize-in-Place (200 ppm Quat spray + paper towel wipe), Yanagiba safe washing and 70% alcohol disinfection, wall magnetic storage, vertical slotted rack drying, and weekly &gt; 1.0mm gouge discard audits.</w:t>
      </w:r>
    </w:p>
    <w:p>
      <w:pPr>
        <w:spacing w:after="30"/>
        <w:ind w:left="360"/>
      </w:pPr>
      <w:r>
        <w:rPr>
          <w:rFonts w:ascii="Times New Roman" w:hAnsi="Times New Roman"/>
          <w:b/>
        </w:rPr>
        <w:t xml:space="preserve">• </w:t>
      </w:r>
      <w:r>
        <w:rPr>
          <w:rFonts w:ascii="Times New Roman" w:hAnsi="Times New Roman"/>
          <w:b/>
          <w:sz w:val="19"/>
        </w:rPr>
        <w:t xml:space="preserve">• SSOP-CLN-03 (Fresh Produce &amp; Garnish Chlorine Washing SSOP): </w:t>
      </w:r>
      <w:r>
        <w:rPr>
          <w:rFonts w:ascii="Times New Roman" w:hAnsi="Times New Roman"/>
          <w:sz w:val="19"/>
        </w:rPr>
        <w:t>Antimicrobial wash in dedicated prep basin dosed to 50–100 PPM Chlorine (test strip verified), mandatory 60-second submersion, 30-second potable running water rinse, centrifugal spin-drying in manual salad spinner, 48-hour secondary labeling, and Tier 1 chiller storage.</w:t>
      </w:r>
    </w:p>
    <w:p>
      <w:pPr>
        <w:spacing w:after="30"/>
        <w:ind w:left="360"/>
      </w:pPr>
      <w:r>
        <w:rPr>
          <w:rFonts w:ascii="Times New Roman" w:hAnsi="Times New Roman"/>
          <w:b/>
        </w:rPr>
        <w:t xml:space="preserve">• </w:t>
      </w:r>
      <w:r>
        <w:rPr>
          <w:rFonts w:ascii="Times New Roman" w:hAnsi="Times New Roman"/>
          <w:b/>
          <w:sz w:val="19"/>
        </w:rPr>
        <w:t xml:space="preserve">• SSOP-CLN-04 (Master Cleaning Schedule, Chiller Gasket &amp; Hood Degreasing SSOP): </w:t>
      </w:r>
      <w:r>
        <w:rPr>
          <w:rFonts w:ascii="Times New Roman" w:hAnsi="Times New Roman"/>
          <w:sz w:val="19"/>
        </w:rPr>
        <w:t>Daily closing line wipe, weekly Sunday exhaust hood baffle filter degreaser soaking (&gt;= 50°C at 1:10 ratio), 4-door magnetic gasket mold detail scrubbing with 200 ppm Quat, weekly under-sink grease trap skimming into sealed bags (zero drain disposal), and monthly condenser coil vacuuming.</w:t>
      </w:r>
    </w:p>
    <w:p>
      <w:pPr>
        <w:spacing w:after="30"/>
        <w:ind w:left="360"/>
      </w:pPr>
      <w:r>
        <w:rPr>
          <w:rFonts w:ascii="Times New Roman" w:hAnsi="Times New Roman"/>
          <w:b/>
        </w:rPr>
        <w:t xml:space="preserve">• </w:t>
      </w:r>
      <w:r>
        <w:rPr>
          <w:rFonts w:ascii="Times New Roman" w:hAnsi="Times New Roman"/>
          <w:b/>
          <w:sz w:val="19"/>
        </w:rPr>
        <w:t xml:space="preserve">• SSOP-CLN-05 (Daily Kitchen Floor Alkaline Degreasing &amp; Squeegee Maintenance SOP): </w:t>
      </w:r>
      <w:r>
        <w:rPr>
          <w:rFonts w:ascii="Times New Roman" w:hAnsi="Times New Roman"/>
          <w:sz w:val="19"/>
        </w:rPr>
        <w:t>Nightly dry sweep, hot water (&gt;= 50°C) + alkaline degreaser (1:20) with 5-min chemical dwell, cross-hatch stiff-bristle deck scrubbing of tile grout lines, squeegee channeling toward standard floor drains, wet-pickup mop extraction of low spots (zero standing pools), circular floor drain strainer cleaning, 2L Quat trap pour, and vertical mop tool hanging (all trench drain references removed).</w:t>
      </w:r>
    </w:p>
    <w:p>
      <w:pPr>
        <w:spacing w:after="30"/>
        <w:ind w:left="360"/>
      </w:pPr>
      <w:r>
        <w:rPr>
          <w:rFonts w:ascii="Times New Roman" w:hAnsi="Times New Roman"/>
          <w:b/>
        </w:rPr>
        <w:t xml:space="preserve">• </w:t>
      </w:r>
      <w:r>
        <w:rPr>
          <w:rFonts w:ascii="Times New Roman" w:hAnsi="Times New Roman"/>
          <w:b/>
          <w:sz w:val="19"/>
        </w:rPr>
        <w:t xml:space="preserve">• SSOP-CLN-06 (Ice Storage Chest &amp; Beverage Blender Sanitization SSOP): </w:t>
      </w:r>
      <w:r>
        <w:rPr>
          <w:rFonts w:ascii="Times New Roman" w:hAnsi="Times New Roman"/>
          <w:sz w:val="19"/>
        </w:rPr>
        <w:t>Commercial bagged ice intake inspection, top-of-bag 70% alcohol wipe before scissor cut, transfer into insulated chest, mandatory dedicated scoop stored in external holster bracket (zero scoop in ice), zero glass dipping, zero bare-hand contact, daily 4-piece blender breakdown and chemical sanitization, and weekly Sunday 100 ppm Chlorine chest deep disinfection.</w:t>
      </w:r>
    </w:p>
    <w:p>
      <w:pPr>
        <w:spacing w:after="30"/>
        <w:ind w:left="360"/>
      </w:pPr>
      <w:r>
        <w:rPr>
          <w:rFonts w:ascii="Times New Roman" w:hAnsi="Times New Roman"/>
          <w:b/>
        </w:rPr>
        <w:t xml:space="preserve">• </w:t>
      </w:r>
      <w:r>
        <w:rPr>
          <w:rFonts w:ascii="Times New Roman" w:hAnsi="Times New Roman"/>
          <w:b/>
          <w:sz w:val="19"/>
        </w:rPr>
        <w:t xml:space="preserve">Verification Toolkit Forms: </w:t>
      </w:r>
      <w:r>
        <w:rPr>
          <w:rFonts w:ascii="Times New Roman" w:hAnsi="Times New Roman"/>
          <w:sz w:val="19"/>
        </w:rPr>
        <w:t>LOG-CLN-01 (2-Compartment Sink Titration Log); LOG-CLN-02 (Knife &amp; Board Sanitation Log); LOG-CLN-03 (Produce Chlorine Washing Log); LOG-CLN-04 (Master Cleaning Schedule Log); LOG-CLN-05 (Floor Degreasing &amp; Drain Maintenance Log); LOG-CLN-06 (Ice Chest &amp; Blender Log); LOG-IPM-01 (Pest Activity Log); LOG-WAT-01 (Water &amp; Ice Log).</w:t>
      </w:r>
    </w:p>
    <w:p>
      <w:pPr>
        <w:spacing w:before="120" w:after="40"/>
      </w:pPr>
      <w:r>
        <w:rPr>
          <w:rFonts w:ascii="Times New Roman" w:hAnsi="Times New Roman"/>
          <w:b/>
          <w:color w:val="1B365D"/>
          <w:sz w:val="21"/>
        </w:rPr>
        <w:t>Module 6: Service Quality, Front-of-House &amp; Management Governance</w:t>
      </w:r>
    </w:p>
    <w:p>
      <w:pPr>
        <w:spacing w:after="50"/>
      </w:pPr>
      <w:r>
        <w:rPr>
          <w:rFonts w:ascii="Times New Roman" w:hAnsi="Times New Roman"/>
          <w:sz w:val="19"/>
        </w:rPr>
        <w:t>Objective: Maintain rapid dining table turnover, eliminate service delays, ensure spotless cashier presentation, and enforce systemic root-cause resolution.</w:t>
      </w:r>
    </w:p>
    <w:p>
      <w:pPr>
        <w:spacing w:after="30"/>
        <w:ind w:left="360"/>
      </w:pPr>
      <w:r>
        <w:rPr>
          <w:rFonts w:ascii="Times New Roman" w:hAnsi="Times New Roman"/>
          <w:b/>
        </w:rPr>
        <w:t xml:space="preserve">• </w:t>
      </w:r>
      <w:r>
        <w:rPr>
          <w:rFonts w:ascii="Times New Roman" w:hAnsi="Times New Roman"/>
          <w:b/>
          <w:sz w:val="19"/>
        </w:rPr>
        <w:t xml:space="preserve">Policy Alignment: </w:t>
      </w:r>
      <w:r>
        <w:rPr>
          <w:rFonts w:ascii="Times New Roman" w:hAnsi="Times New Roman"/>
          <w:sz w:val="19"/>
        </w:rPr>
        <w:t>PRP-GHP-01 (Personnel Hygiene); ISO 22000:2018 Clause 8.9 &amp; 10 (Non-Conformance &amp; CAPA).</w:t>
      </w:r>
    </w:p>
    <w:p>
      <w:pPr>
        <w:spacing w:after="30"/>
        <w:ind w:left="360"/>
      </w:pPr>
      <w:r>
        <w:rPr>
          <w:rFonts w:ascii="Times New Roman" w:hAnsi="Times New Roman"/>
          <w:b/>
        </w:rPr>
        <w:t xml:space="preserve">• </w:t>
      </w:r>
      <w:r>
        <w:rPr>
          <w:rFonts w:ascii="Times New Roman" w:hAnsi="Times New Roman"/>
          <w:b/>
          <w:sz w:val="19"/>
        </w:rPr>
        <w:t xml:space="preserve">• SOP-FOH-01 (3-Minute Table Bussing &amp; Two-Step Surface Sanitization SOP): </w:t>
      </w:r>
      <w:r>
        <w:rPr>
          <w:rFonts w:ascii="Times New Roman" w:hAnsi="Times New Roman"/>
          <w:sz w:val="19"/>
        </w:rPr>
        <w:t>Vacated table clearing within 3 minutes, soiled bus tub segregation, Two-Step Clean &amp; Sanitize Protocol (Step 1: detergent spray + Blue microfiber S-wipe; Step 2: 200 ppm Quat spray + paper towel wipe + 60s air-dry), chair/booth/high-chair sanitization, condiment caddy wipes, and mandatory post-bussing server alcohol hand rub.</w:t>
      </w:r>
    </w:p>
    <w:p>
      <w:pPr>
        <w:spacing w:after="30"/>
        <w:ind w:left="360"/>
      </w:pPr>
      <w:r>
        <w:rPr>
          <w:rFonts w:ascii="Times New Roman" w:hAnsi="Times New Roman"/>
          <w:b/>
        </w:rPr>
        <w:t xml:space="preserve">• </w:t>
      </w:r>
      <w:r>
        <w:rPr>
          <w:rFonts w:ascii="Times New Roman" w:hAnsi="Times New Roman"/>
          <w:b/>
          <w:sz w:val="19"/>
        </w:rPr>
        <w:t xml:space="preserve">• SOP-FOH-02 (15-Minute Maki Ticket Tracking &amp; Kitchen Expediting SOP): </w:t>
      </w:r>
      <w:r>
        <w:rPr>
          <w:rFonts w:ascii="Times New Roman" w:hAnsi="Times New Roman"/>
          <w:sz w:val="19"/>
        </w:rPr>
        <w:t>Left-to-right chronological rail staging, 10-minute warning alert triggering mandatory supervisor station support, central pass 5-point quality gate, 60-second pass-to-table delivery, 15-minute maximum ticket turnaround, and table service recovery protocol (resolving Audit Finding 1.2).</w:t>
      </w:r>
    </w:p>
    <w:p>
      <w:pPr>
        <w:spacing w:after="30"/>
        <w:ind w:left="360"/>
      </w:pPr>
      <w:r>
        <w:rPr>
          <w:rFonts w:ascii="Times New Roman" w:hAnsi="Times New Roman"/>
          <w:b/>
        </w:rPr>
        <w:t xml:space="preserve">• </w:t>
      </w:r>
      <w:r>
        <w:rPr>
          <w:rFonts w:ascii="Times New Roman" w:hAnsi="Times New Roman"/>
          <w:b/>
          <w:sz w:val="19"/>
        </w:rPr>
        <w:t xml:space="preserve">• SOP-FOH-03 (Front Cashier Counter Clutter Management &amp; Sneeze Guard Hygiene SOP): </w:t>
      </w:r>
      <w:r>
        <w:rPr>
          <w:rFonts w:ascii="Times New Roman" w:hAnsi="Times New Roman"/>
          <w:sz w:val="19"/>
        </w:rPr>
        <w:t>Zero personal clutter standard on counter (only POS, QR stand, alcohol dispenser), 5S under-counter storage, 2-hour acrylic sneeze guard 70% alcohol streak-free wipe, POS touchscreen and card terminal PIN pad disinfection, elevated takeout staging, and mandatory tamper-evident bag seals.</w:t>
      </w:r>
    </w:p>
    <w:p>
      <w:pPr>
        <w:spacing w:after="30"/>
        <w:ind w:left="360"/>
      </w:pPr>
      <w:r>
        <w:rPr>
          <w:rFonts w:ascii="Times New Roman" w:hAnsi="Times New Roman"/>
          <w:b/>
        </w:rPr>
        <w:t xml:space="preserve">• </w:t>
      </w:r>
      <w:r>
        <w:rPr>
          <w:rFonts w:ascii="Times New Roman" w:hAnsi="Times New Roman"/>
          <w:b/>
          <w:sz w:val="19"/>
        </w:rPr>
        <w:t xml:space="preserve">• SOP-MGT-01 (Non-Conformance, 5-Whys Root Cause Analysis &amp; CAPA Resolution Protocol): </w:t>
      </w:r>
      <w:r>
        <w:rPr>
          <w:rFonts w:ascii="Times New Roman" w:hAnsi="Times New Roman"/>
          <w:sz w:val="19"/>
        </w:rPr>
        <w:t>Mandatory 4-step immediate containment (&lt; 15 mins: halt, quarantine/condemn with red tags, notify FSCO, log), formal 5-Whys Root Cause Analysis within 24 hours (with worked examples for Findings 1.1 &amp; 1.2), SMART CAPA plan formulation, strict deadlines (Critical: 7 days, Major: 14 days, Minor: 30 days), mandatory 30-day post-closure verification audit, and monthly Pareto trend reviews.</w:t>
      </w:r>
    </w:p>
    <w:p>
      <w:pPr>
        <w:spacing w:after="30"/>
        <w:ind w:left="360"/>
      </w:pPr>
      <w:r>
        <w:rPr>
          <w:rFonts w:ascii="Times New Roman" w:hAnsi="Times New Roman"/>
          <w:b/>
        </w:rPr>
        <w:t xml:space="preserve">• </w:t>
      </w:r>
      <w:r>
        <w:rPr>
          <w:rFonts w:ascii="Times New Roman" w:hAnsi="Times New Roman"/>
          <w:b/>
          <w:sz w:val="19"/>
        </w:rPr>
        <w:t xml:space="preserve">Verification Toolkit Forms: </w:t>
      </w:r>
      <w:r>
        <w:rPr>
          <w:rFonts w:ascii="Times New Roman" w:hAnsi="Times New Roman"/>
          <w:sz w:val="19"/>
        </w:rPr>
        <w:t>LOG-FOH-01 (Table Bussing &amp; Turnover Log); LOG-FOH-02 (Maki Ticket Tracking &amp; Expediting Log); LOG-FOH-03 (Cashier Counter &amp; Sneeze Guard Log); LOG-MGT-01 (Non-Conformance &amp; CAPA Report); LOG-DEV-01 (Master Deviation Log).</w:t>
      </w:r>
    </w:p>
    <w:p>
      <w:pPr>
        <w:spacing w:before="160" w:after="60"/>
      </w:pPr>
      <w:r>
        <w:rPr>
          <w:rFonts w:ascii="Times New Roman" w:hAnsi="Times New Roman"/>
          <w:b/>
          <w:color w:val="1B365D"/>
          <w:sz w:val="24"/>
        </w:rPr>
        <w:t>III. Master Document Control &amp; Verification Toolkit Matrix</w:t>
      </w:r>
    </w:p>
    <w:p>
      <w:pPr>
        <w:spacing w:after="50"/>
      </w:pPr>
      <w:r>
        <w:rPr>
          <w:rFonts w:ascii="Times New Roman" w:hAnsi="Times New Roman"/>
          <w:sz w:val="19"/>
        </w:rPr>
        <w:t>The table below catalogs 100% of active documents comprising the Suteki Japanese Restaurant Food Safety Management System: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592"/>
        <w:gridCol w:w="2592"/>
        <w:gridCol w:w="2592"/>
        <w:gridCol w:w="2592"/>
      </w:tblGrid>
      <w:tr>
        <w:tc>
          <w:tcPr>
            <w:tcW w:type="dxa" w:w="1584"/>
            <w:shd w:fill="1B365D"/>
            <w:tcMar>
              <w:top w:w="40" w:type="dxa"/>
              <w:bottom w:w="40" w:type="dxa"/>
              <w:left w:w="30" w:type="dxa"/>
              <w:right w:w="30" w:type="dxa"/>
            </w:tcMar>
          </w:tcPr>
          <w:p>
            <w:pPr>
              <w:spacing w:after="0"/>
              <w:jc w:val="center"/>
            </w:pPr>
            <w:r>
              <w:rPr>
                <w:rFonts w:ascii="Times New Roman" w:hAnsi="Times New Roman"/>
                <w:b/>
                <w:color w:val="FFFFFF"/>
                <w:sz w:val="16"/>
              </w:rPr>
              <w:t>Doc Code</w:t>
            </w:r>
          </w:p>
        </w:tc>
        <w:tc>
          <w:tcPr>
            <w:tcW w:type="dxa" w:w="3744"/>
            <w:shd w:fill="1B365D"/>
            <w:tcMar>
              <w:top w:w="40" w:type="dxa"/>
              <w:bottom w:w="40" w:type="dxa"/>
              <w:left w:w="30" w:type="dxa"/>
              <w:right w:w="30" w:type="dxa"/>
            </w:tcMar>
          </w:tcPr>
          <w:p>
            <w:pPr>
              <w:spacing w:after="0"/>
              <w:jc w:val="center"/>
            </w:pPr>
            <w:r>
              <w:rPr>
                <w:rFonts w:ascii="Times New Roman" w:hAnsi="Times New Roman"/>
                <w:b/>
                <w:color w:val="FFFFFF"/>
                <w:sz w:val="16"/>
              </w:rPr>
              <w:t>Document Title &amp; Scope</w:t>
            </w:r>
          </w:p>
        </w:tc>
        <w:tc>
          <w:tcPr>
            <w:tcW w:type="dxa" w:w="3024"/>
            <w:shd w:fill="1B365D"/>
            <w:tcMar>
              <w:top w:w="40" w:type="dxa"/>
              <w:bottom w:w="40" w:type="dxa"/>
              <w:left w:w="30" w:type="dxa"/>
              <w:right w:w="30" w:type="dxa"/>
            </w:tcMar>
          </w:tcPr>
          <w:p>
            <w:pPr>
              <w:spacing w:after="0"/>
              <w:jc w:val="center"/>
            </w:pPr>
            <w:r>
              <w:rPr>
                <w:rFonts w:ascii="Times New Roman" w:hAnsi="Times New Roman"/>
                <w:b/>
                <w:color w:val="FFFFFF"/>
                <w:sz w:val="16"/>
              </w:rPr>
              <w:t>Short File Name (.docx)</w:t>
            </w:r>
          </w:p>
        </w:tc>
        <w:tc>
          <w:tcPr>
            <w:tcW w:type="dxa" w:w="2016"/>
            <w:shd w:fill="1B365D"/>
            <w:tcMar>
              <w:top w:w="40" w:type="dxa"/>
              <w:bottom w:w="40" w:type="dxa"/>
              <w:left w:w="30" w:type="dxa"/>
              <w:right w:w="30" w:type="dxa"/>
            </w:tcMar>
          </w:tcPr>
          <w:p>
            <w:pPr>
              <w:spacing w:after="0"/>
              <w:jc w:val="center"/>
            </w:pPr>
            <w:r>
              <w:rPr>
                <w:rFonts w:ascii="Times New Roman" w:hAnsi="Times New Roman"/>
                <w:b/>
                <w:color w:val="FFFFFF"/>
                <w:sz w:val="16"/>
              </w:rPr>
              <w:t>Toolkit Verification Form</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PRP-GHP-01</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Personnel Hygiene &amp; Mandatory Health Card Policy</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Suteki_PRP-01_Personal_Hygiene.docx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LOG-GHP-01</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PRP-FAC-01</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Facility Layout, Structural Integrity &amp; Flooring Management</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Suteki_PRP-02_Facility_Flooring.docx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LOG-FAC-01</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PRP-WAT-01</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Water Supply, Commercial Bagged Ice &amp; Quality Policy</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Suteki_PRP-03_Water_and_Ice.docx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LOG-WAT-01</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PRP-IPM-01</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Integrated Pest Management (IPM) &amp; Refuse Control</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Suteki_PRP-04_Pest_Control.docx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LOG-IPM-01</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PRP-SAN-01</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Chemical Safety, Titration &amp; Infrastructure Policy</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Suteki_PRP-05_Chemical_Safety.docx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LOG-SAN-01</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PRP-COLD-01</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Single 4-Door Combination Cold Chain &amp; Calibration</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Suteki_PRP-06_Cold_Chain.docx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LOG-TEMP-01</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PRP-TRACE-01</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Commissary Transfer via Owner SUV &amp; Traceability</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Suteki_PRP-07_Receiving_Traceability.docx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LOG-TRACE-01</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PRP-ALLERG-01</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Big 9 Allergen Management &amp; Dedicated Purple Board</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Suteki_PRP-08_Allergen_Management.docx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LOG-ALLERG-01</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SOP-REC-01</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Commissary Delivery Intake &amp; Acceptance (CCP 1)</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Suteki_SOP-REC-01_Receiving.docx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LOG-REC-01</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SOP-STO-01</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Right-Side Chiller Vertical Storage &amp; Date-Marking</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Suteki_SOP-STO-01_Chiller_Storage.docx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LOG-LABEL-01</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SOP-THW-01</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Controlled Cold-Chain Thawing SOP</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Suteki_SOP-THW-01_Thawing.docx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LOG-THW-01</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SOP-SUS-01</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In-Store Sushi Rice Acidification &amp; TPHC (CCP 2)</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Suteki_SOP-SUS-01_Sushi_Rice_CCP2.docx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LOG-SUS-01</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SOP-SUS-02</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RTE Maki Assembly &amp; Makisu Cling-Film Barrier</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Suteki_SOP-SUS-02_Maki_Assembly.docx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LOG-SUS-02</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SOP-SUS-03</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Raw Sashimi Slicing &amp; 20-Min Bench Dwell SOP</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Suteki_SOP-SUS-03_Sashimi_Slicing.docx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LOG-SUS-03</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SOP-SUS-04</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Cold Sauce Refrigeration &amp; Zero Top-Filling SOP</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Suteki_SOP-SUS-04_Sauce_Refrigeration.docx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LOG-SUS-04</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SOP-SUS-05</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Station Hand Antisepsis &amp; Glove Transition Protocol</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Suteki_SOP-SUS-05_Hand_Antisepsis_and_Gloves.docx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LOG-SUS-05</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SOP-HOT-01</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Deep-Frying Lethality &amp; Fryer Oil TPM (CCP 3)</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Suteki_SOP-HOT-01_Deep_Frying_CCP3.docx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LOG-HOT-01</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SOP-HOT-02</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Ramen Broth Reheating &amp; Hot Holding (CCP 4)</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Suteki_SOP-HOT-02_Broth_Reheating_CCP4.docx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LOG-HOT-02</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SOP-HOT-03</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Sizzling Plate &amp; Hotpot Thermal Assembly SOP</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Suteki_SOP-HOT-03_Sizzling_Plates.docx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LOG-HOT-03</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SOP-HOT-04</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Appetizer Pan-Frying Core Temperature SOP</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Suteki_SOP-HOT-04_Appetizers.docx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LOG-HOT-04</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SOP-HOT-05</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Digital Stem Thermometer Ice-Slurry Calibration</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Suteki_SOP-HOT-05_Calibration.docx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LOG-HOT-05 / LOG-CAL-01</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SSOP-CLN-01</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Two-Compartment Sink Warewashing with Auxiliary Tub</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Suteki_SSOP-CLN-01_Two_Sink_Warewashing.docx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LOG-CLN-01</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SSOP-CLN-02</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Knife, Cutting Board &amp; Smallwares Sanitation</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Suteki_SSOP-CLN-02_Knife_and_Board_Sanitation.docx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LOG-CLN-02</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SSOP-CLN-03</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Fresh Produce &amp; Garnish Chlorine Washing SSOP</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Suteki_SSOP-CLN-03_Produce_Washing.docx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LOG-CLN-03</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SSOP-CLN-04</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Master Cleaning Schedule &amp; Hood Degreasing SSOP</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Suteki_SSOP-CLN-04_Master_Cleaning_Schedule.docx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LOG-CLN-04</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SSOP-CLN-05</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Daily Kitchen Floor Alkaline Degreasing SOP</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Suteki_SSOP-CLN-05_Floor_Degreasing.docx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LOG-CLN-05</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SSOP-CLN-06</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Ice Storage Chest &amp; Beverage Blender Sanitization</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Suteki_SSOP-CLN-06_Ice_Chest_and_Blenders.docx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LOG-CLN-06</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SOP-FOH-01</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3-Minute Table Bussing &amp; Two-Step Sanitization</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Suteki_SOP-FOH-01_Table_Bussing.docx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LOG-FOH-01</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SOP-FOH-02</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15-Minute Maki Ticket Tracking &amp; Expediting SOP</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Suteki_SOP-FOH-02_Ticket_Tracking.docx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LOG-FOH-02</w:t>
            </w:r>
          </w:p>
        </w:tc>
      </w:tr>
      <w:tr>
        <w:tc>
          <w:tcPr>
            <w:tcW w:type="dxa" w:w="1584"/>
            <w:shd w:fill="FFFFFF"/>
            <w:tcMar>
              <w:top w:w="30" w:type="dxa"/>
              <w:bottom w:w="30" w:type="dxa"/>
              <w:left w:w="30" w:type="dxa"/>
              <w:right w:w="30" w:type="dxa"/>
            </w:tcMar>
          </w:tcPr>
          <w:p>
            <w:pPr>
              <w:spacing w:after="0" w:before="0"/>
            </w:pPr>
            <w:r>
              <w:rPr>
                <w:rFonts w:ascii="Times New Roman" w:hAnsi="Times New Roman"/>
                <w:b/>
                <w:color w:val="1B365D"/>
                <w:sz w:val="15"/>
              </w:rPr>
              <w:t>SOP-FOH-03</w:t>
            </w:r>
          </w:p>
        </w:tc>
        <w:tc>
          <w:tcPr>
            <w:tcW w:type="dxa" w:w="3744"/>
            <w:shd w:fill="FFFFFF"/>
            <w:tcMar>
              <w:top w:w="30" w:type="dxa"/>
              <w:bottom w:w="30" w:type="dxa"/>
              <w:left w:w="30" w:type="dxa"/>
              <w:right w:w="30" w:type="dxa"/>
            </w:tcMar>
          </w:tcPr>
          <w:p>
            <w:pPr>
              <w:spacing w:after="0" w:before="0"/>
            </w:pPr>
            <w:r>
              <w:rPr>
                <w:rFonts w:ascii="Times New Roman" w:hAnsi="Times New Roman"/>
                <w:sz w:val="15"/>
              </w:rPr>
              <w:t>Front Cashier Counter Clutter &amp; Sneeze Guard SOP</w:t>
            </w:r>
          </w:p>
        </w:tc>
        <w:tc>
          <w:tcPr>
            <w:tcW w:type="dxa" w:w="3024"/>
            <w:shd w:fill="FFFFFF"/>
            <w:tcMar>
              <w:top w:w="30" w:type="dxa"/>
              <w:bottom w:w="30" w:type="dxa"/>
              <w:left w:w="30" w:type="dxa"/>
              <w:right w:w="30" w:type="dxa"/>
            </w:tcMar>
          </w:tcPr>
          <w:p>
            <w:pPr>
              <w:spacing w:after="0" w:before="0"/>
            </w:pPr>
            <w:r>
              <w:rPr>
                <w:rFonts w:ascii="Times New Roman" w:hAnsi="Times New Roman"/>
                <w:sz w:val="15"/>
              </w:rPr>
              <w:t>Suteki_SOP-FOH-03_Counter_and_Sneeze_Guard.docx</w:t>
            </w:r>
          </w:p>
        </w:tc>
        <w:tc>
          <w:tcPr>
            <w:tcW w:type="dxa" w:w="2016"/>
            <w:shd w:fill="FFFFFF"/>
            <w:tcMar>
              <w:top w:w="30" w:type="dxa"/>
              <w:bottom w:w="30" w:type="dxa"/>
              <w:left w:w="30" w:type="dxa"/>
              <w:right w:w="30" w:type="dxa"/>
            </w:tcMar>
          </w:tcPr>
          <w:p>
            <w:pPr>
              <w:spacing w:after="0" w:before="0"/>
            </w:pPr>
            <w:r>
              <w:rPr>
                <w:rFonts w:ascii="Times New Roman" w:hAnsi="Times New Roman"/>
                <w:sz w:val="15"/>
              </w:rPr>
              <w:t>LOG-FOH-03</w:t>
            </w:r>
          </w:p>
        </w:tc>
      </w:tr>
      <w:tr>
        <w:tc>
          <w:tcPr>
            <w:tcW w:type="dxa" w:w="1584"/>
            <w:shd w:fill="F9FAFB"/>
            <w:tcMar>
              <w:top w:w="30" w:type="dxa"/>
              <w:bottom w:w="30" w:type="dxa"/>
              <w:left w:w="30" w:type="dxa"/>
              <w:right w:w="30" w:type="dxa"/>
            </w:tcMar>
          </w:tcPr>
          <w:p>
            <w:pPr>
              <w:spacing w:after="0" w:before="0"/>
            </w:pPr>
            <w:r>
              <w:rPr>
                <w:rFonts w:ascii="Times New Roman" w:hAnsi="Times New Roman"/>
                <w:b/>
                <w:color w:val="1B365D"/>
                <w:sz w:val="15"/>
              </w:rPr>
              <w:t>SOP-MGT-01</w:t>
            </w:r>
          </w:p>
        </w:tc>
        <w:tc>
          <w:tcPr>
            <w:tcW w:type="dxa" w:w="3744"/>
            <w:shd w:fill="F9FAFB"/>
            <w:tcMar>
              <w:top w:w="30" w:type="dxa"/>
              <w:bottom w:w="30" w:type="dxa"/>
              <w:left w:w="30" w:type="dxa"/>
              <w:right w:w="30" w:type="dxa"/>
            </w:tcMar>
          </w:tcPr>
          <w:p>
            <w:pPr>
              <w:spacing w:after="0" w:before="0"/>
            </w:pPr>
            <w:r>
              <w:rPr>
                <w:rFonts w:ascii="Times New Roman" w:hAnsi="Times New Roman"/>
                <w:sz w:val="15"/>
              </w:rPr>
              <w:t>Non-Conformance, 5-Whys Root Cause &amp; CAPA Protocol</w:t>
            </w:r>
          </w:p>
        </w:tc>
        <w:tc>
          <w:tcPr>
            <w:tcW w:type="dxa" w:w="3024"/>
            <w:shd w:fill="F9FAFB"/>
            <w:tcMar>
              <w:top w:w="30" w:type="dxa"/>
              <w:bottom w:w="30" w:type="dxa"/>
              <w:left w:w="30" w:type="dxa"/>
              <w:right w:w="30" w:type="dxa"/>
            </w:tcMar>
          </w:tcPr>
          <w:p>
            <w:pPr>
              <w:spacing w:after="0" w:before="0"/>
            </w:pPr>
            <w:r>
              <w:rPr>
                <w:rFonts w:ascii="Times New Roman" w:hAnsi="Times New Roman"/>
                <w:sz w:val="15"/>
              </w:rPr>
              <w:t>Suteki_SOP-MGT-01_CAPA_Protocol.docx</w:t>
            </w:r>
          </w:p>
        </w:tc>
        <w:tc>
          <w:tcPr>
            <w:tcW w:type="dxa" w:w="2016"/>
            <w:shd w:fill="F9FAFB"/>
            <w:tcMar>
              <w:top w:w="30" w:type="dxa"/>
              <w:bottom w:w="30" w:type="dxa"/>
              <w:left w:w="30" w:type="dxa"/>
              <w:right w:w="30" w:type="dxa"/>
            </w:tcMar>
          </w:tcPr>
          <w:p>
            <w:pPr>
              <w:spacing w:after="0" w:before="0"/>
            </w:pPr>
            <w:r>
              <w:rPr>
                <w:rFonts w:ascii="Times New Roman" w:hAnsi="Times New Roman"/>
                <w:sz w:val="15"/>
              </w:rPr>
              <w:t>LOG-MGT-01 / LOG-DEV-01</w:t>
            </w:r>
          </w:p>
        </w:tc>
      </w:tr>
    </w:tbl>
    <w:p>
      <w:pPr>
        <w:spacing w:before="160" w:after="40"/>
      </w:pPr>
    </w:p>
    <w:p>
      <w:pPr>
        <w:spacing w:before="160" w:after="60"/>
      </w:pPr>
      <w:r>
        <w:rPr>
          <w:rFonts w:ascii="Times New Roman" w:hAnsi="Times New Roman"/>
          <w:b/>
          <w:color w:val="1B365D"/>
          <w:sz w:val="24"/>
        </w:rPr>
        <w:t>IV. Authorization, Sign-Off &amp; Governance Mandate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Lead Food Safety Auditor Declaration:</w:t>
              <w:br/>
            </w:r>
            <w:r>
              <w:rPr>
                <w:rFonts w:ascii="Times New Roman" w:hAnsi="Times New Roman"/>
                <w:sz w:val="17"/>
              </w:rPr>
              <w:t>I certify that this FSMS Master Manual has been rigorously customized to the exact risks, commissary transfer model, in-store sushi rice acidification (CCP 2), thermal frying/reheating kill steps (CCP 3/4), 2-compartment sink infrastructure, and operational workflow of Suteki Japanese Restaurant (SM Dasmariñas, Cavite). Implementation of all 31 system documents is mandatory for full regulatory certification under RA 10611, PD 856, and ISO 22000:2018.</w:t>
              <w:br/>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Client Representative Acknowledgment:</w:t>
              <w:br/>
            </w:r>
            <w:r>
              <w:rPr>
                <w:rFonts w:ascii="Times New Roman" w:hAnsi="Times New Roman"/>
                <w:sz w:val="17"/>
              </w:rPr>
              <w:t>I acknowledge receipt of this updated FSMS Master Manual and understand my executive responsibility to allocate all necessary financial, structural, and staffing resources for its daily execution, ensuring continuous compliance and prompt rectification of physical facility constraints.</w:t>
              <w:br/>
              <w:br/>
            </w:r>
            <w:r>
              <w:rPr>
                <w:rFonts w:ascii="Times New Roman" w:hAnsi="Times New Roman"/>
              </w:rPr>
              <w:t>_________________________________________</w:t>
              <w:br/>
            </w:r>
            <w:r>
              <w:rPr>
                <w:rFonts w:ascii="Times New Roman" w:hAnsi="Times New Roman"/>
                <w:b/>
              </w:rPr>
              <w:t>Store Operations Manager / Owner</w:t>
              <w:br/>
            </w:r>
            <w:r>
              <w:rPr>
                <w:rFonts w:ascii="Times New Roman" w:hAnsi="Times New Roman"/>
              </w:rPr>
              <w:t>Suteki Japanese Restaurant (SM Dasmariñas)</w:t>
              <w:br/>
              <w:t>Date: ___________________</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