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ATS </w:t>
      </w:r>
      <w:r w:rsidDel="00000000" w:rsidR="00000000" w:rsidRPr="00000000">
        <w:rPr>
          <w:rtl w:val="0"/>
        </w:rPr>
        <w:t xml:space="preserve">Change Request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850"/>
        <w:gridCol w:w="2745"/>
        <w:tblGridChange w:id="0">
          <w:tblGrid>
            <w:gridCol w:w="3780"/>
            <w:gridCol w:w="2850"/>
            <w:gridCol w:w="2745"/>
          </w:tblGrid>
        </w:tblGridChange>
      </w:tblGrid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Request Name: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Algorithmic Trading System User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info:</w:t>
            </w:r>
          </w:p>
        </w:tc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Name:Albert Wong</w:t>
            </w:r>
          </w:p>
        </w:tc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Date:January 15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Change: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interface dedicated to the ATS system should be developed for users. Here they can interact with features: Configuration Changes, Data exportation, and Job Scheduling.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allow for a user-friendly way to download data or modify the system, that doesn’t require directly modifying files or programming.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Priority(Low, Medium, High):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on Deliverables: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new deliverables: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Hosted UI (IONOS)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functionality (Admin / User)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modifiable through UI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 modifiable through UI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can be downloaded from UI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Areas: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End-User, Config, Cron-Jobs, Database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Evaluation: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Low/Medium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Resources: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Flask, Figma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on Deadline: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Deadline: April 2024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850"/>
        <w:gridCol w:w="2745"/>
        <w:tblGridChange w:id="0">
          <w:tblGrid>
            <w:gridCol w:w="3780"/>
            <w:gridCol w:w="2850"/>
            <w:gridCol w:w="2745"/>
          </w:tblGrid>
        </w:tblGridChange>
      </w:tblGrid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Request Name: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info:</w:t>
            </w:r>
          </w:p>
        </w:tc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Change: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Priority(Low, Medium, High):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on Deliverables: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Areas: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Evaluation: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Resources: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.1023622047245" w:hRule="atLeast"/>
          <w:tblHeader w:val="0"/>
        </w:trPr>
        <w:tc>
          <w:tcPr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on Deadline:</w:t>
            </w:r>
          </w:p>
        </w:tc>
        <w:tc>
          <w:tcPr>
            <w:gridSpan w:val="2"/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FaUEstjl/+FAVDaUEbyN7zCng==">CgMxLjAyCGguZ2pkZ3hzOAByITFoM3JKUUlDeG9aaTYySkxjOUJicC0xNHRkSjZMQ0ozSw==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