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任务1</w:t>
      </w:r>
    </w:p>
    <w:p>
      <w:r>
        <w:rPr>
          <w:rFonts w:ascii="微软雅黑" w:hAnsi="微软雅黑" w:eastAsia="微软雅黑"/>
          <w:b w:val="0"/>
          <w:sz w:val="22"/>
        </w:rPr>
        <w:t>技术/产品：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OpenAI宣布成立OpenAI Deployment Company（DeployCo），初始投资超40亿美元，聚焦企业AI系统构建与落地。[来源2]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OpenAI收购企业AI咨询公司Tomoro，约150名部署工程师并入DeployCo。[来源3]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Anthropic与Blackstone、Hellman &amp; Friedman、Goldman Sachs合资成立企业AI服务公司，部署前线工程师（FDE）团队服务企业客户。[来源4]</w:t>
      </w:r>
    </w:p>
    <w:p>
      <w:r>
        <w:rPr>
          <w:rFonts w:ascii="微软雅黑" w:hAnsi="微软雅黑" w:eastAsia="微软雅黑"/>
          <w:b w:val="0"/>
          <w:sz w:val="22"/>
        </w:rPr>
        <w:t>投资：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Palantir Technologies发布2025年年度报告，详细介绍了公司的财务状况和业务发展。[来源1]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FDE Pulse发布2026年FDE招聘趋势报告，追踪260个活跃FDE职位、108家企业。[来源5]</w:t>
      </w:r>
    </w:p>
    <w:p>
      <w:r>
        <w:rPr>
          <w:rFonts w:ascii="微软雅黑" w:hAnsi="微软雅黑" w:eastAsia="微软雅黑"/>
          <w:b w:val="0"/>
          <w:sz w:val="22"/>
        </w:rPr>
        <w:t>趋势：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FDE模式成为AI公司标配，行业观察与实践不断涌现。[来源4]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AI技术逐渐应用于更多领域，推动企业数字化转型。[来源2]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企业对AI服务的需求不断增长，投资规模持续扩大。[来源1][来源2]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10:33:35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