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微软雅黑" w:hAnsi="微软雅黑" w:eastAsia="微软雅黑"/>
          <w:b/>
          <w:color w:val="1F2A24"/>
          <w:sz w:val="40"/>
        </w:rPr>
        <w:t>第二个任务</w:t>
      </w:r>
    </w:p>
    <w:p>
      <w:r>
        <w:rPr>
          <w:rFonts w:ascii="微软雅黑" w:hAnsi="微软雅黑" w:eastAsia="微软雅黑"/>
          <w:b w:val="0"/>
          <w:sz w:val="22"/>
        </w:rPr>
        <w:t>第二个提示词是“用户输入模板”，其主要作用是将用户问题、知识切片、历史上下文或变量组装给模型。适合写的内容包括问题、上下文、引用材料、输出要求、字段约束等。这一提示词在提示词工程中用于确保模型能够正确理解和处理用户输入的信息。 [来源 2]</w:t>
      </w:r>
    </w:p>
    <w:p>
      <w:r>
        <w:rPr>
          <w:rFonts w:ascii="微软雅黑" w:hAnsi="微软雅黑" w:eastAsia="微软雅黑"/>
          <w:b w:val="0"/>
          <w:color w:val="999999"/>
          <w:sz w:val="16"/>
        </w:rPr>
        <w:t>生成时间：2026-09-24 10:36:20　·　企业文档知识库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