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微软雅黑" w:hAnsi="微软雅黑" w:eastAsia="微软雅黑"/>
          <w:b/>
          <w:color w:val="1F2A24"/>
          <w:sz w:val="40"/>
        </w:rPr>
        <w:t>API测试单次任务</w:t>
      </w:r>
    </w:p>
    <w:p>
      <w:r>
        <w:rPr>
          <w:rFonts w:ascii="微软雅黑" w:hAnsi="微软雅黑" w:eastAsia="微软雅黑"/>
          <w:b w:val="0"/>
          <w:sz w:val="22"/>
        </w:rPr>
        <w:t>RAG系统的作用是构建符合业务需求、可靠支撑运营的高性能智能系统。 [来源1]</w:t>
      </w:r>
    </w:p>
    <w:p>
      <w:r>
        <w:rPr>
          <w:rFonts w:ascii="微软雅黑" w:hAnsi="微软雅黑" w:eastAsia="微软雅黑"/>
          <w:b w:val="0"/>
          <w:color w:val="999999"/>
          <w:sz w:val="16"/>
        </w:rPr>
        <w:t>生成时间：2026-09-24 09:48:26　·　企业文档知识库 RAG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