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Parathyroid Physiology</w:t>
      </w:r>
    </w:p>
    <w:p>
      <w:pPr>
        <w:pStyle w:val="Heading2"/>
      </w:pPr>
      <w:r>
        <w:t>Parathyroid Hormone</w:t>
      </w:r>
    </w:p>
    <w:p>
      <w:pPr>
        <w:pStyle w:val="ListBullet"/>
        <w:ind w:left="720"/>
      </w:pPr>
      <w:r>
        <w:t>Function</w:t>
      </w:r>
    </w:p>
    <w:p>
      <w:pPr>
        <w:pStyle w:val="ListBullet"/>
        <w:ind w:left="1080"/>
      </w:pPr>
      <w:r>
        <w:t>Calcium Regulation</w:t>
      </w:r>
    </w:p>
    <w:p>
      <w:pPr>
        <w:pStyle w:val="ListBullet"/>
        <w:ind w:left="1440"/>
      </w:pPr>
      <w:r>
        <w:t>Effects</w:t>
      </w:r>
    </w:p>
    <w:p>
      <w:pPr>
        <w:pStyle w:val="ListBullet"/>
        <w:ind w:left="1800"/>
      </w:pPr>
      <w:r>
        <w:t>Increase serum calcium</w:t>
      </w:r>
    </w:p>
    <w:p>
      <w:pPr>
        <w:pStyle w:val="ListBullet"/>
        <w:ind w:left="720"/>
      </w:pPr>
      <w:r>
        <w:t>Synthesis</w:t>
      </w:r>
    </w:p>
    <w:p>
      <w:pPr>
        <w:pStyle w:val="ListBullet"/>
        <w:ind w:left="1080"/>
      </w:pPr>
      <w:r>
        <w:t>Gene Transcription</w:t>
      </w:r>
    </w:p>
    <w:p>
      <w:pPr>
        <w:pStyle w:val="ListBullet"/>
        <w:ind w:left="1440"/>
      </w:pPr>
      <w:r>
        <w:t>Control</w:t>
      </w:r>
    </w:p>
    <w:p>
      <w:pPr>
        <w:pStyle w:val="ListBullet"/>
        <w:ind w:left="1800"/>
      </w:pPr>
      <w:r>
        <w:t>Hypocalcemia stimulates via CaSR</w:t>
      </w:r>
    </w:p>
    <w:p>
      <w:pPr>
        <w:pStyle w:val="ListBullet"/>
        <w:ind w:left="1800"/>
      </w:pPr>
      <w:r>
        <w:t>Eucalcemia inhibits via CaSR</w:t>
      </w:r>
    </w:p>
    <w:p>
      <w:pPr>
        <w:pStyle w:val="ListBullet"/>
        <w:ind w:left="1800"/>
      </w:pPr>
      <w:r>
        <w:t>Vitamin D inhibits via VDR</w:t>
      </w:r>
    </w:p>
    <w:p>
      <w:pPr>
        <w:pStyle w:val="ListBullet"/>
        <w:ind w:left="720"/>
      </w:pPr>
      <w:r>
        <w:t>Secretion</w:t>
      </w:r>
    </w:p>
    <w:p>
      <w:pPr>
        <w:pStyle w:val="ListBullet"/>
        <w:ind w:left="1080"/>
      </w:pPr>
      <w:r>
        <w:t>CaSR Signaling</w:t>
      </w:r>
    </w:p>
    <w:p>
      <w:pPr>
        <w:pStyle w:val="ListBullet"/>
        <w:ind w:left="1440"/>
      </w:pPr>
      <w:r>
        <w:t>Regulation</w:t>
      </w:r>
    </w:p>
    <w:p>
      <w:pPr>
        <w:pStyle w:val="ListBullet"/>
        <w:ind w:left="1800"/>
      </w:pPr>
      <w:r>
        <w:t>Hypocalcemia stimulates</w:t>
      </w:r>
    </w:p>
    <w:p>
      <w:pPr>
        <w:pStyle w:val="ListBullet"/>
        <w:ind w:left="1800"/>
      </w:pPr>
      <w:r>
        <w:t>Hypercalcemia inhibits</w:t>
      </w:r>
    </w:p>
    <w:p>
      <w:pPr>
        <w:pStyle w:val="ListBullet"/>
        <w:ind w:left="1800"/>
      </w:pPr>
      <w:r>
        <w:t>Hyperphosphatemia stimulates</w:t>
      </w:r>
    </w:p>
    <w:p>
      <w:pPr>
        <w:pStyle w:val="ListBullet"/>
        <w:ind w:left="1080"/>
      </w:pPr>
      <w:r>
        <w:t>Magnesium Effects</w:t>
      </w:r>
    </w:p>
    <w:p>
      <w:pPr>
        <w:pStyle w:val="ListBullet"/>
        <w:ind w:left="1440"/>
      </w:pPr>
      <w:r>
        <w:t>Response</w:t>
      </w:r>
    </w:p>
    <w:p>
      <w:pPr>
        <w:pStyle w:val="ListBullet"/>
        <w:ind w:left="1800"/>
      </w:pPr>
      <w:r>
        <w:t>Mild deficiency stimulates</w:t>
      </w:r>
    </w:p>
    <w:p>
      <w:pPr>
        <w:pStyle w:val="ListBullet"/>
        <w:ind w:left="1800"/>
      </w:pPr>
      <w:r>
        <w:t>Severe deficiency inhibits</w:t>
      </w:r>
    </w:p>
    <w:p>
      <w:pPr>
        <w:pStyle w:val="ListBullet"/>
        <w:ind w:left="720"/>
      </w:pPr>
      <w:r>
        <w:t>Receptors</w:t>
      </w:r>
    </w:p>
    <w:p>
      <w:pPr>
        <w:pStyle w:val="ListBullet"/>
        <w:ind w:left="1080"/>
      </w:pPr>
      <w:r>
        <w:t>PTH1R</w:t>
      </w:r>
    </w:p>
    <w:p>
      <w:pPr>
        <w:pStyle w:val="ListBullet"/>
        <w:ind w:left="1440"/>
      </w:pPr>
      <w:r>
        <w:t>Location</w:t>
      </w:r>
    </w:p>
    <w:p>
      <w:pPr>
        <w:pStyle w:val="ListBullet"/>
        <w:ind w:left="1800"/>
      </w:pPr>
      <w:r>
        <w:t>Bone</w:t>
      </w:r>
    </w:p>
    <w:p>
      <w:pPr>
        <w:pStyle w:val="ListBullet"/>
        <w:ind w:left="2160"/>
      </w:pPr>
      <w:r>
        <w:t>Actions</w:t>
      </w:r>
    </w:p>
    <w:p>
      <w:pPr>
        <w:pStyle w:val="ListBullet"/>
        <w:ind w:left="2520"/>
      </w:pPr>
      <w:r>
        <w:t>Osteoblast activation</w:t>
      </w:r>
    </w:p>
    <w:p>
      <w:pPr>
        <w:pStyle w:val="ListBullet"/>
        <w:ind w:left="2520"/>
      </w:pPr>
      <w:r>
        <w:t>Osteoclast stimulation</w:t>
      </w:r>
    </w:p>
    <w:p>
      <w:pPr>
        <w:pStyle w:val="ListBullet"/>
        <w:ind w:left="2520"/>
      </w:pPr>
      <w:r>
        <w:t>Calcium liberation</w:t>
      </w:r>
    </w:p>
    <w:p>
      <w:pPr>
        <w:pStyle w:val="ListBullet"/>
        <w:ind w:left="1800"/>
      </w:pPr>
      <w:r>
        <w:t>Kidney</w:t>
      </w:r>
    </w:p>
    <w:p>
      <w:pPr>
        <w:pStyle w:val="ListBullet"/>
        <w:ind w:left="2160"/>
      </w:pPr>
      <w:r>
        <w:t>Actions</w:t>
      </w:r>
    </w:p>
    <w:p>
      <w:pPr>
        <w:pStyle w:val="ListBullet"/>
        <w:ind w:left="2520"/>
      </w:pPr>
      <w:r>
        <w:t>Calcium reabsorption</w:t>
      </w:r>
    </w:p>
    <w:p>
      <w:pPr>
        <w:pStyle w:val="ListBullet"/>
        <w:ind w:left="2520"/>
      </w:pPr>
      <w:r>
        <w:t>Phosphate excretion</w:t>
      </w:r>
    </w:p>
    <w:p>
      <w:pPr>
        <w:pStyle w:val="ListBullet"/>
        <w:ind w:left="2520"/>
      </w:pPr>
      <w:r>
        <w:t>Vitamin D activation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