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300" w:after="80" w:line="288" w:lineRule="auto"/>
        <w:jc w:val="center"/>
        <w:outlineLvl w:val="0"/>
      </w:pPr>
      <w:r>
        <w:rPr>
          <w:rFonts w:ascii="微软雅黑" w:hAnsi="微软雅黑" w:eastAsia="微软雅黑" w:cs="微软雅黑"/>
          <w:b/>
          <w:color w:val="1A56DB"/>
          <w:sz w:val="56"/>
        </w:rPr>
        <w:t>ML-Lab 机器学习可视化实验平台</w:t>
      </w:r>
    </w:p>
    <w:p>
      <w:pPr>
        <w:spacing w:before="75" w:line="288" w:lineRule="auto"/>
        <w:jc w:val="center"/>
      </w:pPr>
      <w:r>
        <w:rPr>
          <w:rFonts w:ascii="微软雅黑" w:hAnsi="微软雅黑" w:eastAsia="微软雅黑" w:cs="微软雅黑"/>
          <w:color w:val="6B7280"/>
          <w:sz w:val="28"/>
        </w:rPr>
        <w:t>使 用 手 册</w:t>
      </w:r>
    </w:p>
    <w:p>
      <w:pPr>
        <w:spacing w:before="225" w:line="288" w:lineRule="auto"/>
        <w:jc w:val="center"/>
      </w:pPr>
      <w:r>
        <w:rPr>
          <w:rFonts w:ascii="微软雅黑" w:hAnsi="微软雅黑" w:eastAsia="微软雅黑" w:cs="微软雅黑"/>
          <w:color w:val="9CA3AF"/>
          <w:sz w:val="24"/>
        </w:rPr>
        <w:t>版本 v1.0.0</w:t>
      </w:r>
    </w:p>
    <w:p>
      <w:pPr>
        <w:spacing w:before="225" w:line="288" w:lineRule="auto"/>
        <w:jc w:val="center"/>
      </w:pPr>
      <w:r>
        <w:rPr>
          <w:rFonts w:ascii="微软雅黑" w:hAnsi="微软雅黑" w:eastAsia="微软雅黑" w:cs="微软雅黑"/>
          <w:color w:val="9CA3AF"/>
          <w:sz w:val="24"/>
        </w:rPr>
        <w:t>2026 年 4 月</w:t>
      </w:r>
    </w:p>
    <w:p>
      <w:pPr>
        <w:spacing w:line="288" w:lineRule="auto"/>
      </w:pP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left w:val="single" w:sz="6" w:space="1" w:color="E2E8F0"/>
              <w:right w:val="single" w:sz="6" w:space="1" w:color="E2E8F0"/>
              <w:top w:val="single" w:sz="6" w:space="1" w:color="E2E8F0"/>
              <w:bottom w:val="single" w:sz="6" w:space="1" w:color="E2E8F0"/>
            </w:tcBorders>
            <w:tcMar>
              <w:top w:w="300" w:type="dxa"/>
              <w:right w:w="420" w:type="dxa"/>
              <w:bottom w:w="300" w:type="dxa"/>
              <w:left w:w="420" w:type="dxa"/>
            </w:tcMar>
          </w:tcPr>
          <w:p>
            <w:pPr>
              <w:pStyle w:val="Heading2"/>
              <w:keepNext w:val="0"/>
              <w:keepLines w:val="0"/>
              <w:pageBreakBefore w:val="0"/>
              <w:spacing w:before="225" w:line="288" w:lineRule="auto"/>
              <w:outlineLvl w:val="1"/>
            </w:pPr>
            <w:r>
              <w:rPr>
                <w:rFonts w:ascii="微软雅黑" w:hAnsi="微软雅黑" w:eastAsia="微软雅黑" w:cs="微软雅黑"/>
                <w:color w:val="1A56DB"/>
                <w:sz w:val="32"/>
              </w:rPr>
              <w:t>目 录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第1章 平台概述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1.1 平台简介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1.2 功能架构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1.3 界面布局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第2章 数据工作台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2.1 内置数据集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2.2 数据预览与统计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2.3 缺失值处理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2.4 特征缩放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2.5 数据集划分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第3章 算法实验室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3.1 支持的算法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3.2 训练模型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3.3 参数配置详解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第4章 模型评估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4.1 评估指标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4.2 可视化图表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4.3 结果解读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第5章 AI 助教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5.1 功能简介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5.2 预设问题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5.3 自由提问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第6章 常见问题与技巧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6.1 常见问题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6.2 使用技巧</w:t>
            </w:r>
          </w:p>
        </w:tc>
      </w:tr>
    </w:tbl>
    <w:p>
      <w:pPr>
        <w:spacing w:before="0" w:after="0" w:line="150" w:lineRule="exact"/>
      </w:pPr>
      <w:r>
        <w:rPr>
          <w:sz w:val="15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第1章 平台概述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1.1 平台简介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ML-Lab 是一个基于 Python 的</w:t>
      </w:r>
      <w:r>
        <w:rPr>
          <w:rFonts w:ascii="微软雅黑" w:hAnsi="微软雅黑" w:eastAsia="微软雅黑" w:cs="微软雅黑"/>
          <w:b/>
          <w:color w:val="222222"/>
          <w:sz w:val="22"/>
        </w:rPr>
        <w:t>机器学习可视化实验平台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，集成了数据预处理、算法训练、模型评估和 AI 辅助教学四大核心功能。平台采用 </w:t>
      </w:r>
      <w:r>
        <w:rPr>
          <w:rFonts w:ascii="微软雅黑" w:hAnsi="微软雅黑" w:eastAsia="微软雅黑" w:cs="微软雅黑"/>
          <w:b/>
          <w:color w:val="222222"/>
          <w:sz w:val="22"/>
        </w:rPr>
        <w:t>Gradio</w:t>
      </w:r>
      <w:r>
        <w:rPr>
          <w:rFonts w:ascii="微软雅黑" w:hAnsi="微软雅黑" w:eastAsia="微软雅黑" w:cs="微软雅黑"/>
          <w:color w:val="222222"/>
          <w:sz w:val="22"/>
        </w:rPr>
        <w:t xml:space="preserve"> 构建 Web 交互界面，后端基于 </w:t>
      </w:r>
      <w:r>
        <w:rPr>
          <w:rFonts w:ascii="微软雅黑" w:hAnsi="微软雅黑" w:eastAsia="微软雅黑" w:cs="微软雅黑"/>
          <w:b/>
          <w:color w:val="222222"/>
          <w:sz w:val="22"/>
        </w:rPr>
        <w:t>Scikit-learn</w:t>
      </w:r>
      <w:r>
        <w:rPr>
          <w:rFonts w:ascii="微软雅黑" w:hAnsi="微软雅黑" w:eastAsia="微软雅黑" w:cs="微软雅黑"/>
          <w:color w:val="222222"/>
          <w:sz w:val="22"/>
        </w:rPr>
        <w:t xml:space="preserve"> 实现六大经典机器学习算法，并接入了</w:t>
      </w:r>
      <w:r>
        <w:rPr>
          <w:rFonts w:ascii="微软雅黑" w:hAnsi="微软雅黑" w:eastAsia="微软雅黑" w:cs="微软雅黑"/>
          <w:b/>
          <w:color w:val="222222"/>
          <w:sz w:val="22"/>
        </w:rPr>
        <w:t>通义千问大语言模型</w:t>
      </w:r>
      <w:r>
        <w:rPr>
          <w:rFonts w:ascii="微软雅黑" w:hAnsi="微软雅黑" w:eastAsia="微软雅黑" w:cs="微软雅黑"/>
          <w:color w:val="222222"/>
          <w:sz w:val="22"/>
        </w:rPr>
        <w:t>提供智能问答辅导。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本平台面向机器学习初学者和教学场景设计，具有以下特点：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全流程可视化</w:t>
      </w:r>
      <w:r>
        <w:rPr>
          <w:rFonts w:ascii="微软雅黑" w:hAnsi="微软雅黑" w:eastAsia="微软雅黑" w:cs="微软雅黑"/>
          <w:color w:val="222222"/>
          <w:sz w:val="22"/>
        </w:rPr>
        <w:t>：从数据加载、预处理、模型训练到结果评估，每一步均配有交互式图表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低门槛操作</w:t>
      </w:r>
      <w:r>
        <w:rPr>
          <w:rFonts w:ascii="微软雅黑" w:hAnsi="微软雅黑" w:eastAsia="微软雅黑" w:cs="微软雅黑"/>
          <w:color w:val="222222"/>
          <w:sz w:val="22"/>
        </w:rPr>
        <w:t>：无需编写代码，通过界面选择即可完成机器学习全流程实验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六大经典算法</w:t>
      </w:r>
      <w:r>
        <w:rPr>
          <w:rFonts w:ascii="微软雅黑" w:hAnsi="微软雅黑" w:eastAsia="微软雅黑" w:cs="微软雅黑"/>
          <w:color w:val="222222"/>
          <w:sz w:val="22"/>
        </w:rPr>
        <w:t>：覆盖线性回归、逻辑回归、KNN、决策树、SVM、神经网络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AI 助教</w:t>
      </w:r>
      <w:r>
        <w:rPr>
          <w:rFonts w:ascii="微软雅黑" w:hAnsi="微软雅黑" w:eastAsia="微软雅黑" w:cs="微软雅黑"/>
          <w:color w:val="222222"/>
          <w:sz w:val="22"/>
        </w:rPr>
        <w:t>：集成通义千问大模型，支持多轮对话式学习辅导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Docker 部署</w:t>
      </w:r>
      <w:r>
        <w:rPr>
          <w:rFonts w:ascii="微软雅黑" w:hAnsi="微软雅黑" w:eastAsia="微软雅黑" w:cs="微软雅黑"/>
          <w:color w:val="222222"/>
          <w:sz w:val="22"/>
        </w:rPr>
        <w:t>：支持容器化一键部署，便于教学环境快速搭建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1.2 功能架构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平台采用模块化架构，由以下核心模块组成：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44"/>
        <w:gridCol w:w="4346"/>
        <w:gridCol w:w="4348"/>
      </w:tblGrid>
      <w:tr>
        <w:tc>
          <w:tcPr>
            <w:tcW w:type="dxa" w:w="94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模块</w:t>
            </w:r>
          </w:p>
        </w:tc>
        <w:tc>
          <w:tcPr>
            <w:tcW w:type="dxa" w:w="434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文件</w:t>
            </w:r>
          </w:p>
        </w:tc>
        <w:tc>
          <w:tcPr>
            <w:tcW w:type="dxa" w:w="434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功能说明</w:t>
            </w:r>
          </w:p>
        </w:tc>
      </w:tr>
      <w:tr>
        <w:tc>
          <w:tcPr>
            <w:tcW w:type="dxa" w:w="9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主界面</w:t>
            </w:r>
          </w:p>
        </w:tc>
        <w:tc>
          <w:tcPr>
            <w:tcW w:type="dxa" w:w="434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41.3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app.py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434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Gradio Web 界面，页面路由与交互逻辑</w:t>
            </w:r>
          </w:p>
        </w:tc>
      </w:tr>
      <w:tr>
        <w:tc>
          <w:tcPr>
            <w:tcW w:type="dxa" w:w="9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算法引擎</w:t>
            </w:r>
          </w:p>
        </w:tc>
        <w:tc>
          <w:tcPr>
            <w:tcW w:type="dxa" w:w="434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16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ml_lab/algorithms.py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434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6 大算法封装、统一注册表与工厂函数</w:t>
            </w:r>
          </w:p>
        </w:tc>
      </w:tr>
      <w:tr>
        <w:tc>
          <w:tcPr>
            <w:tcW w:type="dxa" w:w="9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数据处理</w:t>
            </w:r>
          </w:p>
        </w:tc>
        <w:tc>
          <w:tcPr>
            <w:tcW w:type="dxa" w:w="434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32.9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ml_lab/preprocessing.py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434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数据集加载、缺失值处理、特征缩放、数据集划分</w:t>
            </w:r>
          </w:p>
        </w:tc>
      </w:tr>
      <w:tr>
        <w:tc>
          <w:tcPr>
            <w:tcW w:type="dxa" w:w="9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模型评估</w:t>
            </w:r>
          </w:p>
        </w:tc>
        <w:tc>
          <w:tcPr>
            <w:tcW w:type="dxa" w:w="434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16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ml_lab/evaluation.py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434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分类与回归评估指标计算与报告生成</w:t>
            </w:r>
          </w:p>
        </w:tc>
      </w:tr>
      <w:tr>
        <w:tc>
          <w:tcPr>
            <w:tcW w:type="dxa" w:w="9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可视化</w:t>
            </w:r>
          </w:p>
        </w:tc>
        <w:tc>
          <w:tcPr>
            <w:tcW w:type="dxa" w:w="434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32.9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ml_lab/visualization.py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434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10+ 种可视化图表生成函数</w:t>
            </w:r>
          </w:p>
        </w:tc>
      </w:tr>
      <w:tr>
        <w:tc>
          <w:tcPr>
            <w:tcW w:type="dxa" w:w="9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AI 助教</w:t>
            </w:r>
          </w:p>
        </w:tc>
        <w:tc>
          <w:tcPr>
            <w:tcW w:type="dxa" w:w="434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31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ml_lab/llm_assistant.py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434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通义千问 API 集成、多轮对话管理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1.3 界面布局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启动平台后，浏览器自动打开主界面。界面采用</w:t>
      </w:r>
      <w:r>
        <w:rPr>
          <w:rFonts w:ascii="微软雅黑" w:hAnsi="微软雅黑" w:eastAsia="微软雅黑" w:cs="微软雅黑"/>
          <w:b/>
          <w:color w:val="222222"/>
          <w:sz w:val="22"/>
        </w:rPr>
        <w:t>蓝白主题</w:t>
      </w:r>
      <w:r>
        <w:rPr>
          <w:rFonts w:ascii="微软雅黑" w:hAnsi="微软雅黑" w:eastAsia="微软雅黑" w:cs="微软雅黑"/>
          <w:color w:val="222222"/>
          <w:sz w:val="22"/>
        </w:rPr>
        <w:t>设计，包含以下区域：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顶部标题栏</w:t>
      </w:r>
      <w:r>
        <w:rPr>
          <w:rFonts w:ascii="微软雅黑" w:hAnsi="微软雅黑" w:eastAsia="微软雅黑" w:cs="微软雅黑"/>
          <w:color w:val="222222"/>
          <w:sz w:val="22"/>
        </w:rPr>
        <w:t>：显示平台名称 "ML-Lab 机器学习可视化实验平台"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页面导航栏</w:t>
      </w:r>
      <w:r>
        <w:rPr>
          <w:rFonts w:ascii="微软雅黑" w:hAnsi="微软雅黑" w:eastAsia="微软雅黑" w:cs="微软雅黑"/>
          <w:color w:val="222222"/>
          <w:sz w:val="22"/>
        </w:rPr>
        <w:t>：4 个功能页面标签 — 数据工作台、算法实验室、模型评估、AI助教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内容区域</w:t>
      </w:r>
      <w:r>
        <w:rPr>
          <w:rFonts w:ascii="微软雅黑" w:hAnsi="微软雅黑" w:eastAsia="微软雅黑" w:cs="微软雅黑"/>
          <w:color w:val="222222"/>
          <w:sz w:val="22"/>
        </w:rPr>
        <w:t>：当前页面的交互表单、按钮和结果展示区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DF5"/>
            <w:tcBorders>
              <w:left w:val="single" w:sz="24" w:space="1" w:color="10B981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065F46"/>
                <w:sz w:val="22"/>
              </w:rPr>
              <w:t>提示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页面导航采用纯 CSS 实现的标签切换机制，点击导航栏按钮即可在不同功能页面间切换，无需页面刷新。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第2章 数据工作台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数据工作台是机器学习实验的起点，提供数据集选择、数据探索、预处理和数据集划分等完整的数据准备功能。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2.1 内置数据集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平台预置了 6 个经典机器学习数据集，涵盖分类与回归任务：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分类数据集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数据集名称</w:t>
            </w:r>
          </w:p>
        </w:tc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样本数</w:t>
            </w:r>
          </w:p>
        </w:tc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特征数</w:t>
            </w:r>
          </w:p>
        </w:tc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类别数</w:t>
            </w:r>
          </w:p>
        </w:tc>
        <w:tc>
          <w:tcPr>
            <w:tcW w:type="dxa" w:w="193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简要说明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鸢尾花 (Iris)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150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4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基于花萼/花瓣长度宽度分类三种鸢尾花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葡萄酒 (Wine)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178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13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基于化学成分分类三种葡萄酒产地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乳腺癌 (Breast Cancer)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569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基于细胞特征进行良/恶性分类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手写数字 (Digits)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1,797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64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10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8x8 灰度图像的 0-9 数字识别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回归数据集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数据集名称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样本数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特征数</w:t>
            </w:r>
          </w:p>
        </w:tc>
        <w:tc>
          <w:tcPr>
            <w:tcW w:type="dxa" w:w="241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简要说明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合成分类 (Moons)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300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两个月牙形状的二分类数据，适合展示决策边界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合成回归 (Regression)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200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带噪声的线性回归数据，适合展示回归拟合效果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2.2 数据预览与统计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选择数据集后，平台自动展示以下信息：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数据预览</w:t>
      </w:r>
      <w:r>
        <w:rPr>
          <w:rFonts w:ascii="微软雅黑" w:hAnsi="微软雅黑" w:eastAsia="微软雅黑" w:cs="微软雅黑"/>
          <w:color w:val="222222"/>
          <w:sz w:val="22"/>
        </w:rPr>
        <w:t>：以表格形式展示前若干条样本数据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统计摘要</w:t>
      </w:r>
      <w:r>
        <w:rPr>
          <w:rFonts w:ascii="微软雅黑" w:hAnsi="微软雅黑" w:eastAsia="微软雅黑" w:cs="微软雅黑"/>
          <w:color w:val="222222"/>
          <w:sz w:val="22"/>
        </w:rPr>
        <w:t>：各特征的均值、标准差、最小值、最大值、四分位数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数据分布图</w:t>
      </w:r>
      <w:r>
        <w:rPr>
          <w:rFonts w:ascii="微软雅黑" w:hAnsi="微软雅黑" w:eastAsia="微软雅黑" w:cs="微软雅黑"/>
          <w:color w:val="222222"/>
          <w:sz w:val="22"/>
        </w:rPr>
        <w:t>：特征分布可视化，帮助快速了解数据特征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2.3 缺失值处理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平台支持模拟缺失值并对其进行处理，用于教学演示缺失值处理策略：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操作步骤</w:t>
      </w:r>
    </w:p>
    <w:p>
      <w:pPr>
        <w:pStyle w:val="ListNumber"/>
        <w:numPr>
          <w:ilvl w:val="0"/>
          <w:numId w:val="1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在"缺失值比例"输入框中设置缺失值注入比例（0~1 之间）</w:t>
      </w:r>
    </w:p>
    <w:p>
      <w:pPr>
        <w:pStyle w:val="ListNumber"/>
        <w:numPr>
          <w:ilvl w:val="0"/>
          <w:numId w:val="1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选择缺失值处理策略： </w:t>
      </w:r>
    </w:p>
    <w:p>
      <w:pPr>
        <w:pStyle w:val="ListBullet2"/>
        <w:numPr>
          <w:ilvl w:val="0"/>
          <w:numId w:val="14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删除</w:t>
      </w:r>
      <w:r>
        <w:rPr>
          <w:rFonts w:ascii="微软雅黑" w:hAnsi="微软雅黑" w:eastAsia="微软雅黑" w:cs="微软雅黑"/>
          <w:color w:val="222222"/>
          <w:sz w:val="22"/>
        </w:rPr>
        <w:t xml:space="preserve"> (drop)：直接移除包含缺失值的行</w:t>
      </w:r>
    </w:p>
    <w:p>
      <w:pPr>
        <w:pStyle w:val="ListBullet2"/>
        <w:numPr>
          <w:ilvl w:val="0"/>
          <w:numId w:val="14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均值填充</w:t>
      </w:r>
      <w:r>
        <w:rPr>
          <w:rFonts w:ascii="微软雅黑" w:hAnsi="微软雅黑" w:eastAsia="微软雅黑" w:cs="微软雅黑"/>
          <w:color w:val="222222"/>
          <w:sz w:val="22"/>
        </w:rPr>
        <w:t xml:space="preserve"> (mean)：用该列均值填充缺失值</w:t>
      </w:r>
    </w:p>
    <w:p>
      <w:pPr>
        <w:pStyle w:val="ListBullet2"/>
        <w:numPr>
          <w:ilvl w:val="0"/>
          <w:numId w:val="14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中位数填充</w:t>
      </w:r>
      <w:r>
        <w:rPr>
          <w:rFonts w:ascii="微软雅黑" w:hAnsi="微软雅黑" w:eastAsia="微软雅黑" w:cs="微软雅黑"/>
          <w:color w:val="222222"/>
          <w:sz w:val="22"/>
        </w:rPr>
        <w:t xml:space="preserve"> (median)：用该列中位数填充缺失值</w:t>
      </w:r>
    </w:p>
    <w:p>
      <w:pPr>
        <w:pStyle w:val="ListBullet2"/>
        <w:numPr>
          <w:ilvl w:val="0"/>
          <w:numId w:val="14"/>
        </w:numPr>
        <w:spacing w:after="30" w:line="288" w:lineRule="auto"/>
        <w:ind w:left="84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众数填充</w:t>
      </w:r>
      <w:r>
        <w:rPr>
          <w:rFonts w:ascii="微软雅黑" w:hAnsi="微软雅黑" w:eastAsia="微软雅黑" w:cs="微软雅黑"/>
          <w:color w:val="222222"/>
          <w:sz w:val="22"/>
        </w:rPr>
        <w:t xml:space="preserve"> (mode)：用该列众数填充缺失值</w:t>
      </w:r>
    </w:p>
    <w:p>
      <w:pPr>
        <w:pStyle w:val="ListNumber"/>
        <w:numPr>
          <w:ilvl w:val="0"/>
          <w:numId w:val="1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点击"处理缺失值"按钮，查看处理前后的对比结果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FF6FF"/>
            <w:tcBorders>
              <w:left w:val="single" w:sz="24" w:space="1" w:color="3B82F6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1E40AF"/>
                <w:sz w:val="22"/>
              </w:rPr>
              <w:t>说明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缺失值处理功能会在原始数据副本上操作，不会影响原始数据集。处理前后会展示对比可视化图表。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2.4 特征缩放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特征缩放可将不同量纲的特征归一化，提高模型训练效果：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000"/>
        <w:gridCol w:w="3636"/>
        <w:gridCol w:w="2002"/>
      </w:tblGrid>
      <w:tr>
        <w:tc>
          <w:tcPr>
            <w:tcW w:type="dxa" w:w="40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缩放方法</w:t>
            </w:r>
          </w:p>
        </w:tc>
        <w:tc>
          <w:tcPr>
            <w:tcW w:type="dxa" w:w="363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原理</w:t>
            </w:r>
          </w:p>
        </w:tc>
        <w:tc>
          <w:tcPr>
            <w:tcW w:type="dxa" w:w="2002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适用场景</w:t>
            </w:r>
          </w:p>
        </w:tc>
      </w:tr>
      <w:tr>
        <w:tc>
          <w:tcPr>
            <w:tcW w:type="dxa" w:w="40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标准化 (StandardScaler)</w:t>
            </w:r>
          </w:p>
        </w:tc>
        <w:tc>
          <w:tcPr>
            <w:tcW w:type="dxa" w:w="363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将特征转换为均值 0、标准差 1 的分布</w:t>
            </w:r>
          </w:p>
        </w:tc>
        <w:tc>
          <w:tcPr>
            <w:tcW w:type="dxa" w:w="200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大多数算法的默认选择</w:t>
            </w:r>
          </w:p>
        </w:tc>
      </w:tr>
      <w:tr>
        <w:tc>
          <w:tcPr>
            <w:tcW w:type="dxa" w:w="40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归一化 (MinMaxScaler)</w:t>
            </w:r>
          </w:p>
        </w:tc>
        <w:tc>
          <w:tcPr>
            <w:tcW w:type="dxa" w:w="363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将特征缩放到 [0, 1] 区间</w:t>
            </w:r>
          </w:p>
        </w:tc>
        <w:tc>
          <w:tcPr>
            <w:tcW w:type="dxa" w:w="200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对数据分布无假设时使用</w:t>
            </w:r>
          </w:p>
        </w:tc>
      </w:tr>
      <w:tr>
        <w:tc>
          <w:tcPr>
            <w:tcW w:type="dxa" w:w="40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最大绝对值缩放 (MaxAbsScaler)</w:t>
            </w:r>
          </w:p>
        </w:tc>
        <w:tc>
          <w:tcPr>
            <w:tcW w:type="dxa" w:w="363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按最大绝对值缩放至 [-1, 1]</w:t>
            </w:r>
          </w:p>
        </w:tc>
        <w:tc>
          <w:tcPr>
            <w:tcW w:type="dxa" w:w="200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保留稀疏性时使用</w:t>
            </w:r>
          </w:p>
        </w:tc>
      </w:tr>
      <w:tr>
        <w:tc>
          <w:tcPr>
            <w:tcW w:type="dxa" w:w="40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鲁棒缩放 (RobustScaler)</w:t>
            </w:r>
          </w:p>
        </w:tc>
        <w:tc>
          <w:tcPr>
            <w:tcW w:type="dxa" w:w="363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基于中位数和四分位距缩放</w:t>
            </w:r>
          </w:p>
        </w:tc>
        <w:tc>
          <w:tcPr>
            <w:tcW w:type="dxa" w:w="200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数据含有异常值时使用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2.5 数据集划分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在训练模型前，需将数据集划分为训练集和测试集：</w: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训练集比例</w:t>
      </w:r>
      <w:r>
        <w:rPr>
          <w:rFonts w:ascii="微软雅黑" w:hAnsi="微软雅黑" w:eastAsia="微软雅黑" w:cs="微软雅黑"/>
          <w:color w:val="222222"/>
          <w:sz w:val="22"/>
        </w:rPr>
        <w:t>：默认 80%，可调节（推荐 60%~90%）</w: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随机种子</w:t>
      </w:r>
      <w:r>
        <w:rPr>
          <w:rFonts w:ascii="微软雅黑" w:hAnsi="微软雅黑" w:eastAsia="微软雅黑" w:cs="微软雅黑"/>
          <w:color w:val="222222"/>
          <w:sz w:val="22"/>
        </w:rPr>
        <w:t>：默认 42，设置固定值可保证实验可复现</w: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划分完成后显示训练集和测试集的样本数量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DF5"/>
            <w:tcBorders>
              <w:left w:val="single" w:sz="24" w:space="1" w:color="10B981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065F46"/>
                <w:sz w:val="22"/>
              </w:rPr>
              <w:t>提示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固定随机种子可以确保每次划分结果一致，便于对比不同算法在同一数据上的表现。完成数据集划分后，即可切换到"算法实验室"页面进行模型训练。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第3章 算法实验室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算法实验室是平台的核心功能，提供 6 种经典机器学习算法的可视化训练与调参功能。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3.1 支持的算法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算法名称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类型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实现类</w:t>
            </w:r>
          </w:p>
        </w:tc>
        <w:tc>
          <w:tcPr>
            <w:tcW w:type="dxa" w:w="241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简介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线性回归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31.9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LinearRegressionModel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使用最小二乘法拟合线性关系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逻辑回归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43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LogisticRegressionModel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线性分类模型，输出概率预测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K 近邻 (KNN)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60.7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KNNModel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基于最近邻投票进行预测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决策树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09.5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DecisionTreeModel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基于特征分裂构建树形决策结构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支持向量机 (SVM)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60.7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SVMModel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寻找最大间隔超平面进行分类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神经网络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分类/回归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pict>
                <v:roundrect style="width:115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NeuralNetworkModel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多层感知机 (MLP) 深度学习模型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3.2 训练模型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操作步骤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确保已在"数据工作台"完成数据集加载和划分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切换到"算法实验室"页面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在下拉菜单中选择目标算法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根据需要调整算法超参数（见 3.3 节）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点击"开始训练"按钮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等待训练完成，查看训练结果和可视化图表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FF6FF"/>
            <w:tcBorders>
              <w:left w:val="single" w:sz="24" w:space="1" w:color="3B82F6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1E40AF"/>
                <w:sz w:val="22"/>
              </w:rPr>
              <w:t>说明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平台内部通过 </w:t>
            </w:r>
            <w:r>
              <w:pict>
                <v:roundrect style="width:135.7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ALGORITHM_REGISTRY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注册表和 </w:t>
            </w:r>
            <w:r>
              <w:pict>
                <v:roundrect style="width:104.9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create_algorithm()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工厂函数统一管理所有算法实例。每个算法类均实现了标准接口：</w:t>
            </w:r>
            <w:r>
              <w:pict>
                <v:roundrect style="width:45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train()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、</w:t>
            </w:r>
            <w:r>
              <w:pict>
                <v:roundrect style="width:56.3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predict()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、</w:t>
            </w:r>
            <w:r>
              <w:pict>
                <v:roundrect style="width:71.3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get_params()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，确保操作流程一致。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3.3 参数配置详解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3.3.1 线性回归 (LinearRegression)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819"/>
        <w:gridCol w:w="1853"/>
        <w:gridCol w:w="2966"/>
      </w:tblGrid>
      <w:tr>
        <w:tc>
          <w:tcPr>
            <w:tcW w:type="dxa" w:w="481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1853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296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481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fit_intercept</w:t>
            </w:r>
          </w:p>
        </w:tc>
        <w:tc>
          <w:tcPr>
            <w:tcW w:type="dxa" w:w="185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True</w:t>
            </w:r>
          </w:p>
        </w:tc>
        <w:tc>
          <w:tcPr>
            <w:tcW w:type="dxa" w:w="296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是否计算截距项</w:t>
            </w:r>
          </w:p>
        </w:tc>
      </w:tr>
      <w:tr>
        <w:tc>
          <w:tcPr>
            <w:tcW w:type="dxa" w:w="481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positive</w:t>
            </w:r>
          </w:p>
        </w:tc>
        <w:tc>
          <w:tcPr>
            <w:tcW w:type="dxa" w:w="185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False</w:t>
            </w:r>
          </w:p>
        </w:tc>
        <w:tc>
          <w:tcPr>
            <w:tcW w:type="dxa" w:w="296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是否强制系数为正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3.3.2 逻辑回归 (LogisticRegression)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50"/>
        <w:gridCol w:w="900"/>
        <w:gridCol w:w="6288"/>
      </w:tblGrid>
      <w:tr>
        <w:tc>
          <w:tcPr>
            <w:tcW w:type="dxa" w:w="245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628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45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 (正则化强度)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1.0</w:t>
            </w:r>
          </w:p>
        </w:tc>
        <w:tc>
          <w:tcPr>
            <w:tcW w:type="dxa" w:w="628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值越小正则化越强</w:t>
            </w:r>
          </w:p>
        </w:tc>
      </w:tr>
      <w:tr>
        <w:tc>
          <w:tcPr>
            <w:tcW w:type="dxa" w:w="245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max_iter (最大迭代)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100</w:t>
            </w:r>
          </w:p>
        </w:tc>
        <w:tc>
          <w:tcPr>
            <w:tcW w:type="dxa" w:w="628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优化算法最大迭代次数</w:t>
            </w:r>
          </w:p>
        </w:tc>
      </w:tr>
      <w:tr>
        <w:tc>
          <w:tcPr>
            <w:tcW w:type="dxa" w:w="245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solver (求解器)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lbfgs</w:t>
            </w:r>
          </w:p>
        </w:tc>
        <w:tc>
          <w:tcPr>
            <w:tcW w:type="dxa" w:w="628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优化算法：liblinear/lbfgs/newton-cg/sag/saga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3.3.3 K 近邻 (KNN)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150"/>
        <w:gridCol w:w="1668"/>
        <w:gridCol w:w="4820"/>
      </w:tblGrid>
      <w:tr>
        <w:tc>
          <w:tcPr>
            <w:tcW w:type="dxa" w:w="315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166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482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315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n_neighbors (K 值)</w:t>
            </w:r>
          </w:p>
        </w:tc>
        <w:tc>
          <w:tcPr>
            <w:tcW w:type="dxa" w:w="166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5</w:t>
            </w:r>
          </w:p>
        </w:tc>
        <w:tc>
          <w:tcPr>
            <w:tcW w:type="dxa" w:w="48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最近邻数量</w:t>
            </w:r>
          </w:p>
        </w:tc>
      </w:tr>
      <w:tr>
        <w:tc>
          <w:tcPr>
            <w:tcW w:type="dxa" w:w="315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weights (权重)</w:t>
            </w:r>
          </w:p>
        </w:tc>
        <w:tc>
          <w:tcPr>
            <w:tcW w:type="dxa" w:w="166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uniform</w:t>
            </w:r>
          </w:p>
        </w:tc>
        <w:tc>
          <w:tcPr>
            <w:tcW w:type="dxa" w:w="48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uniform(等权)/distance(距离加权)</w:t>
            </w:r>
          </w:p>
        </w:tc>
      </w:tr>
      <w:tr>
        <w:tc>
          <w:tcPr>
            <w:tcW w:type="dxa" w:w="315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metric (距离度量)</w:t>
            </w:r>
          </w:p>
        </w:tc>
        <w:tc>
          <w:tcPr>
            <w:tcW w:type="dxa" w:w="166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minkowski</w:t>
            </w:r>
          </w:p>
        </w:tc>
        <w:tc>
          <w:tcPr>
            <w:tcW w:type="dxa" w:w="482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距离计算方式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3.3.4 决策树 (DecisionTree)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640"/>
        <w:gridCol w:w="900"/>
        <w:gridCol w:w="4098"/>
      </w:tblGrid>
      <w:tr>
        <w:tc>
          <w:tcPr>
            <w:tcW w:type="dxa" w:w="464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409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46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max_depth (最大深度)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None</w:t>
            </w:r>
          </w:p>
        </w:tc>
        <w:tc>
          <w:tcPr>
            <w:tcW w:type="dxa" w:w="40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树的最大深度，None 表示不限制</w:t>
            </w:r>
          </w:p>
        </w:tc>
      </w:tr>
      <w:tr>
        <w:tc>
          <w:tcPr>
            <w:tcW w:type="dxa" w:w="46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min_samples_split (最小分裂样本)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</w:t>
            </w:r>
          </w:p>
        </w:tc>
        <w:tc>
          <w:tcPr>
            <w:tcW w:type="dxa" w:w="40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节点分裂所需的最小样本数</w:t>
            </w:r>
          </w:p>
        </w:tc>
      </w:tr>
      <w:tr>
        <w:tc>
          <w:tcPr>
            <w:tcW w:type="dxa" w:w="46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min_samples_leaf (叶节点最小样本)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</w:t>
            </w:r>
          </w:p>
        </w:tc>
        <w:tc>
          <w:tcPr>
            <w:tcW w:type="dxa" w:w="40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叶节点的最小样本数</w:t>
            </w:r>
          </w:p>
        </w:tc>
      </w:tr>
      <w:tr>
        <w:tc>
          <w:tcPr>
            <w:tcW w:type="dxa" w:w="464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criterion (分裂准则)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gini</w:t>
            </w:r>
          </w:p>
        </w:tc>
        <w:tc>
          <w:tcPr>
            <w:tcW w:type="dxa" w:w="40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gini(基尼系数)/entropy(信息增益)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3.3.5 支持向量机 (SVM)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41"/>
        <w:gridCol w:w="900"/>
        <w:gridCol w:w="6597"/>
      </w:tblGrid>
      <w:tr>
        <w:tc>
          <w:tcPr>
            <w:tcW w:type="dxa" w:w="214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659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14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 (正则化参数)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1.0</w:t>
            </w:r>
          </w:p>
        </w:tc>
        <w:tc>
          <w:tcPr>
            <w:tcW w:type="dxa" w:w="659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惩罚系数，值越大对误分类惩罚越重</w:t>
            </w:r>
          </w:p>
        </w:tc>
      </w:tr>
      <w:tr>
        <w:tc>
          <w:tcPr>
            <w:tcW w:type="dxa" w:w="214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kernel (核函数)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rbf</w:t>
            </w:r>
          </w:p>
        </w:tc>
        <w:tc>
          <w:tcPr>
            <w:tcW w:type="dxa" w:w="659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linear(线性)/rbf(径向基)/poly(多项式)/sigmoid</w:t>
            </w:r>
          </w:p>
        </w:tc>
      </w:tr>
      <w:tr>
        <w:tc>
          <w:tcPr>
            <w:tcW w:type="dxa" w:w="214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gamma</w:t>
            </w:r>
          </w:p>
        </w:tc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scale</w:t>
            </w:r>
          </w:p>
        </w:tc>
        <w:tc>
          <w:tcPr>
            <w:tcW w:type="dxa" w:w="659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核函数系数：scale/auto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3.3.6 神经网络 (NeuralNetwork / MLP)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855"/>
        <w:gridCol w:w="1285"/>
        <w:gridCol w:w="4498"/>
      </w:tblGrid>
      <w:tr>
        <w:tc>
          <w:tcPr>
            <w:tcW w:type="dxa" w:w="3855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1285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449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385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hidden_layer_sizes (隐藏层)</w:t>
            </w:r>
          </w:p>
        </w:tc>
        <w:tc>
          <w:tcPr>
            <w:tcW w:type="dxa" w:w="12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(100,)</w:t>
            </w:r>
          </w:p>
        </w:tc>
        <w:tc>
          <w:tcPr>
            <w:tcW w:type="dxa" w:w="4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各隐藏层神经元数量，如 (128, 64)</w:t>
            </w:r>
          </w:p>
        </w:tc>
      </w:tr>
      <w:tr>
        <w:tc>
          <w:tcPr>
            <w:tcW w:type="dxa" w:w="385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activation (激活函数)</w:t>
            </w:r>
          </w:p>
        </w:tc>
        <w:tc>
          <w:tcPr>
            <w:tcW w:type="dxa" w:w="12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relu</w:t>
            </w:r>
          </w:p>
        </w:tc>
        <w:tc>
          <w:tcPr>
            <w:tcW w:type="dxa" w:w="4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relu/sigmoid/tanh/identity</w:t>
            </w:r>
          </w:p>
        </w:tc>
      </w:tr>
      <w:tr>
        <w:tc>
          <w:tcPr>
            <w:tcW w:type="dxa" w:w="385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max_iter (最大迭代)</w:t>
            </w:r>
          </w:p>
        </w:tc>
        <w:tc>
          <w:tcPr>
            <w:tcW w:type="dxa" w:w="12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200</w:t>
            </w:r>
          </w:p>
        </w:tc>
        <w:tc>
          <w:tcPr>
            <w:tcW w:type="dxa" w:w="4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最大训练轮次</w:t>
            </w:r>
          </w:p>
        </w:tc>
      </w:tr>
      <w:tr>
        <w:tc>
          <w:tcPr>
            <w:tcW w:type="dxa" w:w="385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learning_rate (学习率)</w:t>
            </w:r>
          </w:p>
        </w:tc>
        <w:tc>
          <w:tcPr>
            <w:tcW w:type="dxa" w:w="12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constant</w:t>
            </w:r>
          </w:p>
        </w:tc>
        <w:tc>
          <w:tcPr>
            <w:tcW w:type="dxa" w:w="4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constant/invscaling/adaptive</w:t>
            </w:r>
          </w:p>
        </w:tc>
      </w:tr>
      <w:tr>
        <w:tc>
          <w:tcPr>
            <w:tcW w:type="dxa" w:w="385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alpha (L2 正则化)</w:t>
            </w:r>
          </w:p>
        </w:tc>
        <w:tc>
          <w:tcPr>
            <w:tcW w:type="dxa" w:w="12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0.0001</w:t>
            </w:r>
          </w:p>
        </w:tc>
        <w:tc>
          <w:tcPr>
            <w:tcW w:type="dxa" w:w="449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正则化系数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EF3C7"/>
            <w:tcBorders>
              <w:left w:val="single" w:sz="24" w:space="1" w:color="F59E0B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92400E"/>
                <w:sz w:val="22"/>
              </w:rPr>
              <w:t>注意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神经网络训练可能需要较长时间，尤其是增加隐藏层数量或最大迭代次数时。如遇到训练超时，可尝试减小网络规模或降低迭代次数。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第4章 模型评估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模型评估页面提供全面的模型性能分析工具，包括评估指标计算和多维度可视化图表。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4.1 评估指标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分类任务指标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058"/>
        <w:gridCol w:w="4058"/>
        <w:gridCol w:w="1522"/>
      </w:tblGrid>
      <w:tr>
        <w:tc>
          <w:tcPr>
            <w:tcW w:type="dxa" w:w="405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指标</w:t>
            </w:r>
          </w:p>
        </w:tc>
        <w:tc>
          <w:tcPr>
            <w:tcW w:type="dxa" w:w="405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含义</w:t>
            </w:r>
          </w:p>
        </w:tc>
        <w:tc>
          <w:tcPr>
            <w:tcW w:type="dxa" w:w="1522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取值范围</w:t>
            </w:r>
          </w:p>
        </w:tc>
      </w:tr>
      <w:tr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准确率 (Accuracy)</w:t>
            </w:r>
          </w:p>
        </w:tc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预测正确的样本占总样本的比例</w:t>
            </w:r>
          </w:p>
        </w:tc>
        <w:tc>
          <w:tcPr>
            <w:tcW w:type="dxa" w:w="15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[0, 1]</w:t>
            </w:r>
          </w:p>
        </w:tc>
      </w:tr>
      <w:tr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精确率 (Precision)</w:t>
            </w:r>
          </w:p>
        </w:tc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正类预测中真正为正的比例</w:t>
            </w:r>
          </w:p>
        </w:tc>
        <w:tc>
          <w:tcPr>
            <w:tcW w:type="dxa" w:w="15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[0, 1]</w:t>
            </w:r>
          </w:p>
        </w:tc>
      </w:tr>
      <w:tr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召回率 (Recall)</w:t>
            </w:r>
          </w:p>
        </w:tc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真正为正的样本中被正确预测的比例</w:t>
            </w:r>
          </w:p>
        </w:tc>
        <w:tc>
          <w:tcPr>
            <w:tcW w:type="dxa" w:w="15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[0, 1]</w:t>
            </w:r>
          </w:p>
        </w:tc>
      </w:tr>
      <w:tr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F1 分数 (F1-Score)</w:t>
            </w:r>
          </w:p>
        </w:tc>
        <w:tc>
          <w:tcPr>
            <w:tcW w:type="dxa" w:w="405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精确率与召回率的调和平均值</w:t>
            </w:r>
          </w:p>
        </w:tc>
        <w:tc>
          <w:tcPr>
            <w:tcW w:type="dxa" w:w="15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[0, 1]</w:t>
            </w:r>
          </w:p>
        </w:tc>
      </w:tr>
    </w:tbl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平台还生成完整的</w:t>
      </w:r>
      <w:r>
        <w:rPr>
          <w:rFonts w:ascii="微软雅黑" w:hAnsi="微软雅黑" w:eastAsia="微软雅黑" w:cs="微软雅黑"/>
          <w:b/>
          <w:color w:val="222222"/>
          <w:sz w:val="22"/>
        </w:rPr>
        <w:t>分类报告</w:t>
      </w:r>
      <w:r>
        <w:rPr>
          <w:rFonts w:ascii="微软雅黑" w:hAnsi="微软雅黑" w:eastAsia="微软雅黑" w:cs="微软雅黑"/>
          <w:color w:val="222222"/>
          <w:sz w:val="22"/>
        </w:rPr>
        <w:t>，包含每个类别的精确率、召回率、F1 分数和支持数。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回归任务指标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125"/>
        <w:gridCol w:w="4428"/>
        <w:gridCol w:w="2085"/>
      </w:tblGrid>
      <w:tr>
        <w:tc>
          <w:tcPr>
            <w:tcW w:type="dxa" w:w="3125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指标</w:t>
            </w:r>
          </w:p>
        </w:tc>
        <w:tc>
          <w:tcPr>
            <w:tcW w:type="dxa" w:w="4428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含义</w:t>
            </w:r>
          </w:p>
        </w:tc>
        <w:tc>
          <w:tcPr>
            <w:tcW w:type="dxa" w:w="2085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理想值</w:t>
            </w:r>
          </w:p>
        </w:tc>
      </w:tr>
      <w:tr>
        <w:tc>
          <w:tcPr>
            <w:tcW w:type="dxa" w:w="312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均方误差 (MSE)</w:t>
            </w:r>
          </w:p>
        </w:tc>
        <w:tc>
          <w:tcPr>
            <w:tcW w:type="dxa" w:w="44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预测值与真实值之差的平方的均值</w:t>
            </w:r>
          </w:p>
        </w:tc>
        <w:tc>
          <w:tcPr>
            <w:tcW w:type="dxa" w:w="20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越小越好</w:t>
            </w:r>
          </w:p>
        </w:tc>
      </w:tr>
      <w:tr>
        <w:tc>
          <w:tcPr>
            <w:tcW w:type="dxa" w:w="312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均方根误差 (RMSE)</w:t>
            </w:r>
          </w:p>
        </w:tc>
        <w:tc>
          <w:tcPr>
            <w:tcW w:type="dxa" w:w="44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MSE 的平方根，与原始数据同量纲</w:t>
            </w:r>
          </w:p>
        </w:tc>
        <w:tc>
          <w:tcPr>
            <w:tcW w:type="dxa" w:w="20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越小越好</w:t>
            </w:r>
          </w:p>
        </w:tc>
      </w:tr>
      <w:tr>
        <w:tc>
          <w:tcPr>
            <w:tcW w:type="dxa" w:w="312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平均绝对误差 (MAE)</w:t>
            </w:r>
          </w:p>
        </w:tc>
        <w:tc>
          <w:tcPr>
            <w:tcW w:type="dxa" w:w="44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预测值与真实值之差的绝对值的均值</w:t>
            </w:r>
          </w:p>
        </w:tc>
        <w:tc>
          <w:tcPr>
            <w:tcW w:type="dxa" w:w="20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越小越好</w:t>
            </w:r>
          </w:p>
        </w:tc>
      </w:tr>
      <w:tr>
        <w:tc>
          <w:tcPr>
            <w:tcW w:type="dxa" w:w="312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决定系数 (R²)</w:t>
            </w:r>
          </w:p>
        </w:tc>
        <w:tc>
          <w:tcPr>
            <w:tcW w:type="dxa" w:w="4428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模型解释的方差占总方差的比例</w:t>
            </w:r>
          </w:p>
        </w:tc>
        <w:tc>
          <w:tcPr>
            <w:tcW w:type="dxa" w:w="208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越接近 1 越好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4.2 可视化图表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平台针对不同任务类型提供丰富的可视化图表：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分类任务可视化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84"/>
        <w:gridCol w:w="7654"/>
      </w:tblGrid>
      <w:tr>
        <w:tc>
          <w:tcPr>
            <w:tcW w:type="dxa" w:w="198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图表</w:t>
            </w:r>
          </w:p>
        </w:tc>
        <w:tc>
          <w:tcPr>
            <w:tcW w:type="dxa" w:w="765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198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混淆矩阵热力图</w:t>
            </w:r>
          </w:p>
        </w:tc>
        <w:tc>
          <w:tcPr>
            <w:tcW w:type="dxa" w:w="765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直观展示各类别的正确/错误分类情况</w:t>
            </w:r>
          </w:p>
        </w:tc>
      </w:tr>
      <w:tr>
        <w:tc>
          <w:tcPr>
            <w:tcW w:type="dxa" w:w="198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ROC 曲线</w:t>
            </w:r>
          </w:p>
        </w:tc>
        <w:tc>
          <w:tcPr>
            <w:tcW w:type="dxa" w:w="765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展示不同阈值下真正例率与假正例率的关系，含 AUC 值</w:t>
            </w:r>
          </w:p>
        </w:tc>
      </w:tr>
      <w:tr>
        <w:tc>
          <w:tcPr>
            <w:tcW w:type="dxa" w:w="198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决策边界图</w:t>
            </w:r>
          </w:p>
        </w:tc>
        <w:tc>
          <w:tcPr>
            <w:tcW w:type="dxa" w:w="765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在二维特征空间中展示模型的分类决策区域（仅限低维数据）</w:t>
            </w:r>
          </w:p>
        </w:tc>
      </w:tr>
      <w:tr>
        <w:tc>
          <w:tcPr>
            <w:tcW w:type="dxa" w:w="198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特征重要性图</w:t>
            </w:r>
          </w:p>
        </w:tc>
        <w:tc>
          <w:tcPr>
            <w:tcW w:type="dxa" w:w="765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展示各特征对模型预测的贡献度排序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回归任务可视化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536"/>
        <w:gridCol w:w="7102"/>
      </w:tblGrid>
      <w:tr>
        <w:tc>
          <w:tcPr>
            <w:tcW w:type="dxa" w:w="253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图表</w:t>
            </w:r>
          </w:p>
        </w:tc>
        <w:tc>
          <w:tcPr>
            <w:tcW w:type="dxa" w:w="7102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53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回归拟合图</w:t>
            </w:r>
          </w:p>
        </w:tc>
        <w:tc>
          <w:tcPr>
            <w:tcW w:type="dxa" w:w="710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展示真实值与预测值的散点对比</w:t>
            </w:r>
          </w:p>
        </w:tc>
      </w:tr>
      <w:tr>
        <w:tc>
          <w:tcPr>
            <w:tcW w:type="dxa" w:w="253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残差分布图</w:t>
            </w:r>
          </w:p>
        </w:tc>
        <w:tc>
          <w:tcPr>
            <w:tcW w:type="dxa" w:w="710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展示预测残差的分布情况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训练过程可视化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76"/>
        <w:gridCol w:w="7462"/>
      </w:tblGrid>
      <w:tr>
        <w:tc>
          <w:tcPr>
            <w:tcW w:type="dxa" w:w="217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图表</w:t>
            </w:r>
          </w:p>
        </w:tc>
        <w:tc>
          <w:tcPr>
            <w:tcW w:type="dxa" w:w="7462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17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训练历史曲线</w:t>
            </w:r>
          </w:p>
        </w:tc>
        <w:tc>
          <w:tcPr>
            <w:tcW w:type="dxa" w:w="746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展示训练过程中的损失/准确率变化趋势</w:t>
            </w:r>
          </w:p>
        </w:tc>
      </w:tr>
      <w:tr>
        <w:tc>
          <w:tcPr>
            <w:tcW w:type="dxa" w:w="217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梯度下降可视化</w:t>
            </w:r>
          </w:p>
        </w:tc>
        <w:tc>
          <w:tcPr>
            <w:tcW w:type="dxa" w:w="746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2D 可视化展示梯度下降优化过程（仅限合成数据）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4.3 结果解读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如何判断模型性能</w:t>
      </w:r>
    </w:p>
    <w:p>
      <w:pPr>
        <w:pStyle w:val="ListBullet"/>
        <w:numPr>
          <w:ilvl w:val="0"/>
          <w:numId w:val="17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分类任务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：准确率 &gt; 0.9 通常表示优秀的分类效果；关注 F1 分数可平衡精确率和召回率 </w:t>
      </w:r>
      <w:r>
        <w:rPr>
          <w:rFonts w:ascii="微软雅黑" w:hAnsi="微软雅黑" w:eastAsia="微软雅黑" w:cs="微软雅黑"/>
          <w:b/>
          <w:color w:val="222222"/>
          <w:sz w:val="22"/>
        </w:rPr>
        <w:t>回归任务</w:t>
      </w:r>
      <w:r>
        <w:rPr>
          <w:rFonts w:ascii="微软雅黑" w:hAnsi="微软雅黑" w:eastAsia="微软雅黑" w:cs="微软雅黑"/>
          <w:color w:val="222222"/>
          <w:sz w:val="22"/>
        </w:rPr>
        <w:t xml:space="preserve">：R² &gt; 0.8 表示模型拟合效果良好；RMSE 与数据量纲一致，便于直观理解误差大小 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如何优化模型</w:t>
      </w:r>
    </w:p>
    <w:p>
      <w:pPr>
        <w:pStyle w:val="ListNumber"/>
        <w:numPr>
          <w:ilvl w:val="0"/>
          <w:numId w:val="18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调整超参数</w:t>
      </w:r>
      <w:r>
        <w:rPr>
          <w:rFonts w:ascii="微软雅黑" w:hAnsi="微软雅黑" w:eastAsia="微软雅黑" w:cs="微软雅黑"/>
          <w:color w:val="222222"/>
          <w:sz w:val="22"/>
        </w:rPr>
        <w:t>：返回算法实验室，修改算法参数后重新训练</w:t>
      </w:r>
    </w:p>
    <w:p>
      <w:pPr>
        <w:pStyle w:val="ListNumber"/>
        <w:numPr>
          <w:ilvl w:val="0"/>
          <w:numId w:val="18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更换算法</w:t>
      </w:r>
      <w:r>
        <w:rPr>
          <w:rFonts w:ascii="微软雅黑" w:hAnsi="微软雅黑" w:eastAsia="微软雅黑" w:cs="微软雅黑"/>
          <w:color w:val="222222"/>
          <w:sz w:val="22"/>
        </w:rPr>
        <w:t>：不同算法对不同数据类型的适应性不同，可尝试多种算法进行对比</w:t>
      </w:r>
    </w:p>
    <w:p>
      <w:pPr>
        <w:pStyle w:val="ListNumber"/>
        <w:numPr>
          <w:ilvl w:val="0"/>
          <w:numId w:val="18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数据预处理</w:t>
      </w:r>
      <w:r>
        <w:rPr>
          <w:rFonts w:ascii="微软雅黑" w:hAnsi="微软雅黑" w:eastAsia="微软雅黑" w:cs="微软雅黑"/>
          <w:color w:val="222222"/>
          <w:sz w:val="22"/>
        </w:rPr>
        <w:t>：返回数据工作台，尝试不同的特征缩放方法或缺失值处理策略</w:t>
      </w:r>
    </w:p>
    <w:p>
      <w:pPr>
        <w:pStyle w:val="ListNumber"/>
        <w:numPr>
          <w:ilvl w:val="0"/>
          <w:numId w:val="18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调整数据划分</w:t>
      </w:r>
      <w:r>
        <w:rPr>
          <w:rFonts w:ascii="微软雅黑" w:hAnsi="微软雅黑" w:eastAsia="微软雅黑" w:cs="微软雅黑"/>
          <w:color w:val="222222"/>
          <w:sz w:val="22"/>
        </w:rPr>
        <w:t>：修改训练集/测试集比例，确保数据量充足</w:t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第5章 AI 助教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5.1 功能简介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AI 助教模块集成了</w:t>
      </w:r>
      <w:r>
        <w:rPr>
          <w:rFonts w:ascii="微软雅黑" w:hAnsi="微软雅黑" w:eastAsia="微软雅黑" w:cs="微软雅黑"/>
          <w:b/>
          <w:color w:val="222222"/>
          <w:sz w:val="22"/>
        </w:rPr>
        <w:t>通义千问大语言模型</w:t>
      </w:r>
      <w:r>
        <w:rPr>
          <w:rFonts w:ascii="微软雅黑" w:hAnsi="微软雅黑" w:eastAsia="微软雅黑" w:cs="微软雅黑"/>
          <w:color w:val="222222"/>
          <w:sz w:val="22"/>
        </w:rPr>
        <w:t>，为用户提供机器学习知识的智能问答服务。该模块具备以下特点：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多轮对话</w:t>
      </w:r>
      <w:r>
        <w:rPr>
          <w:rFonts w:ascii="微软雅黑" w:hAnsi="微软雅黑" w:eastAsia="微软雅黑" w:cs="微软雅黑"/>
          <w:color w:val="222222"/>
          <w:sz w:val="22"/>
        </w:rPr>
        <w:t>：支持连续提问，AI 助教能理解上下文语境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内置知识库</w:t>
      </w:r>
      <w:r>
        <w:rPr>
          <w:rFonts w:ascii="微软雅黑" w:hAnsi="微软雅黑" w:eastAsia="微软雅黑" w:cs="微软雅黑"/>
          <w:color w:val="222222"/>
          <w:sz w:val="22"/>
        </w:rPr>
        <w:t>：预置 6 个机器学习核心概念的专业知识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预设问题</w:t>
      </w:r>
      <w:r>
        <w:rPr>
          <w:rFonts w:ascii="微软雅黑" w:hAnsi="微软雅黑" w:eastAsia="微软雅黑" w:cs="微软雅黑"/>
          <w:color w:val="222222"/>
          <w:sz w:val="22"/>
        </w:rPr>
        <w:t>：提供 8 个常见问题快速入口</w:t>
      </w:r>
    </w:p>
    <w:p>
      <w:pPr>
        <w:pStyle w:val="ListBullet"/>
        <w:numPr>
          <w:ilvl w:val="0"/>
          <w:numId w:val="19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自由提问</w:t>
      </w:r>
      <w:r>
        <w:rPr>
          <w:rFonts w:ascii="微软雅黑" w:hAnsi="微软雅黑" w:eastAsia="微软雅黑" w:cs="微软雅黑"/>
          <w:color w:val="222222"/>
          <w:sz w:val="22"/>
        </w:rPr>
        <w:t>：支持任意机器学习相关问题输入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EF3C7"/>
            <w:tcBorders>
              <w:left w:val="single" w:sz="24" w:space="1" w:color="F59E0B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92400E"/>
                <w:sz w:val="22"/>
              </w:rPr>
              <w:t>前提条件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使用 AI 助教需要配置通义千问 API Key。如未配置，AI 助教功能将不可用。请参考《安装手册》完成 API Key 配置。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5.2 预设问题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平台提供以下 8 个预设问题，点击即可快速获取回答：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349"/>
        <w:gridCol w:w="3389"/>
      </w:tblGrid>
      <w:tr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编号</w:t>
            </w:r>
          </w:p>
        </w:tc>
        <w:tc>
          <w:tcPr>
            <w:tcW w:type="dxa" w:w="534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预设问题</w:t>
            </w:r>
          </w:p>
        </w:tc>
        <w:tc>
          <w:tcPr>
            <w:tcW w:type="dxa" w:w="338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涉及知识点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什么是过拟合？如何解决？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模型泛化能力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如何选择合适的机器学习算法？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算法选型策略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什么是交叉验证？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模型验证方法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4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特征工程有哪些常用方法？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特征选择与构造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5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什么是偏差-方差权衡？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模型复杂度分析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6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如何处理不平衡数据集？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数据采样策略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7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正则化是什么？有哪些类型？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L1/L2 正则化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8</w:t>
            </w:r>
          </w:p>
        </w:tc>
        <w:tc>
          <w:tcPr>
            <w:tcW w:type="dxa" w:w="534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什么是梯度下降？有哪些变体？</w:t>
            </w:r>
          </w:p>
        </w:tc>
        <w:tc>
          <w:tcPr>
            <w:tcW w:type="dxa" w:w="338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优化算法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5.3 自由提问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操作步骤</w:t>
      </w:r>
    </w:p>
    <w:p>
      <w:pPr>
        <w:pStyle w:val="ListNumber"/>
        <w:numPr>
          <w:ilvl w:val="0"/>
          <w:numId w:val="2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切换到"AI助教"页面</w:t>
      </w:r>
    </w:p>
    <w:p>
      <w:pPr>
        <w:pStyle w:val="ListNumber"/>
        <w:numPr>
          <w:ilvl w:val="0"/>
          <w:numId w:val="2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在输入框中输入机器学习相关问题（支持中文）</w:t>
      </w:r>
    </w:p>
    <w:p>
      <w:pPr>
        <w:pStyle w:val="ListNumber"/>
        <w:numPr>
          <w:ilvl w:val="0"/>
          <w:numId w:val="2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点击"发送"按钮或按回车键</w:t>
      </w:r>
    </w:p>
    <w:p>
      <w:pPr>
        <w:pStyle w:val="ListNumber"/>
        <w:numPr>
          <w:ilvl w:val="0"/>
          <w:numId w:val="2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AI 助教将基于通义千问模型和内置知识库生成回答</w:t>
      </w:r>
    </w:p>
    <w:p>
      <w:pPr>
        <w:pStyle w:val="ListNumber"/>
        <w:numPr>
          <w:ilvl w:val="0"/>
          <w:numId w:val="20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可继续输入问题进行多轮对话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内置知识库覆盖范围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AI 助教的系统提示词内置了以下 6 个核心知识领域的专业定义：</w:t>
      </w:r>
    </w:p>
    <w:p>
      <w:pPr>
        <w:pStyle w:val="ListNumber"/>
        <w:numPr>
          <w:ilvl w:val="0"/>
          <w:numId w:val="2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机器学习基本概念（监督学习、无监督学习、强化学习）</w:t>
      </w:r>
    </w:p>
    <w:p>
      <w:pPr>
        <w:pStyle w:val="ListNumber"/>
        <w:numPr>
          <w:ilvl w:val="0"/>
          <w:numId w:val="2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常见机器学习算法（线性回归、决策树、SVM、神经网络等）</w:t>
      </w:r>
    </w:p>
    <w:p>
      <w:pPr>
        <w:pStyle w:val="ListNumber"/>
        <w:numPr>
          <w:ilvl w:val="0"/>
          <w:numId w:val="2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模型评估与选择（交叉验证、偏差-方差权衡、评估指标）</w:t>
      </w:r>
    </w:p>
    <w:p>
      <w:pPr>
        <w:pStyle w:val="ListNumber"/>
        <w:numPr>
          <w:ilvl w:val="0"/>
          <w:numId w:val="2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特征工程（特征选择、特征提取、特征缩放）</w:t>
      </w:r>
    </w:p>
    <w:p>
      <w:pPr>
        <w:pStyle w:val="ListNumber"/>
        <w:numPr>
          <w:ilvl w:val="0"/>
          <w:numId w:val="2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过拟合与正则化（L1/L2 正则化、Dropout、早停）</w:t>
      </w:r>
    </w:p>
    <w:p>
      <w:pPr>
        <w:pStyle w:val="ListNumber"/>
        <w:numPr>
          <w:ilvl w:val="0"/>
          <w:numId w:val="2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模型调优（超参数调优、学习率调整、集成方法）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DF5"/>
            <w:tcBorders>
              <w:left w:val="single" w:sz="24" w:space="1" w:color="10B981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065F46"/>
                <w:sz w:val="22"/>
              </w:rPr>
              <w:t>提示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AI 助教基于通义千问模型生成回答，适用于学习和理解机器学习概念。对于精确的数学推导或最新的研究进展，建议结合教材和论文进行深入学习。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第6章 常见问题与技巧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6.1 常见问题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Q1：平台启动后无法在浏览器中打开？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检查端口 7860 是否被占用。可通过以下方式指定其他端口启动：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python app.py --port 7861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Q2：训练模型时报错"数据未准备"？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请先在"数据工作台"中完成数据集加载和数据集划分操作，再切换到"算法实验室"进行训练。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Q3：AI 助教返回错误信息？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常见原因及解决方案：</w:t>
      </w:r>
    </w:p>
    <w:p>
      <w:pPr>
        <w:pStyle w:val="ListBullet"/>
        <w:numPr>
          <w:ilvl w:val="0"/>
          <w:numId w:val="2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API Key 未配置或已过期 → 参考安装手册重新配置</w:t>
      </w:r>
    </w:p>
    <w:p>
      <w:pPr>
        <w:pStyle w:val="ListBullet"/>
        <w:numPr>
          <w:ilvl w:val="0"/>
          <w:numId w:val="2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网络连接问题 → 检查网络是否能访问通义千问 API 服务</w:t>
      </w:r>
    </w:p>
    <w:p>
      <w:pPr>
        <w:pStyle w:val="ListBullet"/>
        <w:numPr>
          <w:ilvl w:val="0"/>
          <w:numId w:val="22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请求频率过高 → 等待片刻后重试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Q4：不同算法在同一数据集上表现差异很大？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这是正常现象。不同算法对数据分布的假设不同，适合的数据类型也不同。建议：</w:t>
      </w:r>
    </w:p>
    <w:p>
      <w:pPr>
        <w:pStyle w:val="ListBullet"/>
        <w:numPr>
          <w:ilvl w:val="0"/>
          <w:numId w:val="23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对比多个算法的评估指标，选择最优方案</w:t>
      </w:r>
    </w:p>
    <w:p>
      <w:pPr>
        <w:pStyle w:val="ListBullet"/>
        <w:numPr>
          <w:ilvl w:val="0"/>
          <w:numId w:val="23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通过数据可视化了解数据分布特征</w:t>
      </w:r>
    </w:p>
    <w:p>
      <w:pPr>
        <w:pStyle w:val="ListBullet"/>
        <w:numPr>
          <w:ilvl w:val="0"/>
          <w:numId w:val="23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调整超参数进行调优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Q5：Docker 部署后无法访问？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确保容器端口映射正确，默认映射为宿主机 7860 → 容器 7860。检查防火墙设置是否允许该端口通信。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6.2 使用技巧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645"/>
        <w:gridCol w:w="7993"/>
      </w:tblGrid>
      <w:tr>
        <w:tc>
          <w:tcPr>
            <w:tcW w:type="dxa" w:w="1645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场景</w:t>
            </w:r>
          </w:p>
        </w:tc>
        <w:tc>
          <w:tcPr>
            <w:tcW w:type="dxa" w:w="7993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建议操作</w:t>
            </w:r>
          </w:p>
        </w:tc>
      </w:tr>
      <w:tr>
        <w:tc>
          <w:tcPr>
            <w:tcW w:type="dxa" w:w="164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初学者入门</w:t>
            </w:r>
          </w:p>
        </w:tc>
        <w:tc>
          <w:tcPr>
            <w:tcW w:type="dxa" w:w="799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选择"鸢尾花"数据集 + "决策树"算法，直观理解分类过程</w:t>
            </w:r>
          </w:p>
        </w:tc>
      </w:tr>
      <w:tr>
        <w:tc>
          <w:tcPr>
            <w:tcW w:type="dxa" w:w="164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理解过拟合</w:t>
            </w:r>
          </w:p>
        </w:tc>
        <w:tc>
          <w:tcPr>
            <w:tcW w:type="dxa" w:w="799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使用合成分类数据集，降低决策树 max_depth 观察决策边界变化</w:t>
            </w:r>
          </w:p>
        </w:tc>
      </w:tr>
      <w:tr>
        <w:tc>
          <w:tcPr>
            <w:tcW w:type="dxa" w:w="164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对比算法</w:t>
            </w:r>
          </w:p>
        </w:tc>
        <w:tc>
          <w:tcPr>
            <w:tcW w:type="dxa" w:w="799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在同一数据集上依次训练不同算法，比较评估指标</w:t>
            </w:r>
          </w:p>
        </w:tc>
      </w:tr>
      <w:tr>
        <w:tc>
          <w:tcPr>
            <w:tcW w:type="dxa" w:w="164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学习调参</w:t>
            </w:r>
          </w:p>
        </w:tc>
        <w:tc>
          <w:tcPr>
            <w:tcW w:type="dxa" w:w="799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固定数据集，逐一调整单个参数，观察性能变化</w:t>
            </w:r>
          </w:p>
        </w:tc>
      </w:tr>
      <w:tr>
        <w:tc>
          <w:tcPr>
            <w:tcW w:type="dxa" w:w="164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理解预处理效果</w:t>
            </w:r>
          </w:p>
        </w:tc>
        <w:tc>
          <w:tcPr>
            <w:tcW w:type="dxa" w:w="799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对比不同缩放方法对 SVM/KNN 等距离敏感算法的影响</w:t>
            </w:r>
          </w:p>
        </w:tc>
      </w:tr>
      <w:tr>
        <w:tc>
          <w:tcPr>
            <w:tcW w:type="dxa" w:w="1645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概念学习</w:t>
            </w:r>
          </w:p>
        </w:tc>
        <w:tc>
          <w:tcPr>
            <w:tcW w:type="dxa" w:w="7993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结合 AI 助教的预设问题，边做实验边学习理论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FF6FF"/>
            <w:tcBorders>
              <w:left w:val="single" w:sz="24" w:space="1" w:color="3B82F6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1E40AF"/>
                <w:sz w:val="22"/>
              </w:rPr>
              <w:t>技术支持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如遇到本手册未涵盖的问题，请联系开发团队或提交 Issue 反馈。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abstractNum w:abstractNumId="10">
    <w:nsid w:val="A0B0000A"/>
    <w:multiLevelType w:val="singleLevel"/>
    <w:tmpl w:val="C0D0000A"/>
    <w:lvl w:ilvl="0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7"/>
    <w:lvlOverride w:ilvl="0">
      <w:startOverride w:val="1"/>
    </w:lvlOverride>
  </w:num>
  <w:num w:numId="14">
    <w:abstractNumId w:val="10"/>
  </w:num>
  <w:num w:numId="15">
    <w:abstractNumId w:val="9"/>
  </w:num>
  <w:num w:numId="16">
    <w:abstractNumId w:val="7"/>
    <w:lvlOverride w:ilvl="0">
      <w:startOverride w:val="1"/>
    </w:lvlOverride>
  </w:num>
  <w:num w:numId="17">
    <w:abstractNumId w:val="9"/>
  </w:num>
  <w:num w:numId="18">
    <w:abstractNumId w:val="7"/>
    <w:lvlOverride w:ilvl="0">
      <w:startOverride w:val="1"/>
    </w:lvlOverride>
  </w:num>
  <w:num w:numId="19">
    <w:abstractNumId w:val="9"/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9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