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i w:val="false"/>
          <w:iCs w:val="false"/>
          <w:color w:val="000000"/>
          <w:sz w:val="28"/>
          <w:szCs w:val="28"/>
        </w:rPr>
        <w:t xml:space="preserve">Protocol on the Use of Artificial Intelligence in Barristers' Practice</w:t>
      </w:r>
    </w:p>
    <w:p>
      <w:pPr>
        <w:pBdr>
          <w:bottom w:val="single" w:color="404040" w:sz="12" w:space="8"/>
        </w:pBdr>
        <w:spacing w:after="260"/>
      </w:pPr>
      <w:r>
        <w:rPr>
          <w:rFonts w:ascii="Calibri" w:cs="Calibri" w:eastAsia="Calibri" w:hAnsi="Calibri"/>
          <w:b w:val="false"/>
          <w:bCs w:val="false"/>
          <w:i w:val="false"/>
          <w:iCs w:val="false"/>
          <w:color w:val="595959"/>
          <w:sz w:val="21"/>
          <w:szCs w:val="21"/>
        </w:rPr>
        <w:t xml:space="preserve">A template for barristers and chambers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1300"/>
        <w:gridCol w:w="2200"/>
      </w:tblGrid>
      <w:tr>
        <w:trPr>
          <w:tblHeader/>
          <w:cantSplit/>
        </w:trPr>
        <w:tc>
          <w:tcPr>
            <w:tcW w:type="dxa" w:w="20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Field</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Detail</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Version</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History</w:t>
            </w:r>
          </w:p>
        </w:tc>
      </w:tr>
      <w:tr>
        <w:trPr>
          <w:tblHeader w:val="false"/>
          <w:cantSplit/>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Adopted by</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[Barrister]</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1.0</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 Adopted</w:t>
            </w:r>
          </w:p>
        </w:tc>
      </w:tr>
      <w:tr>
        <w:trPr>
          <w:tblHeader w:val="false"/>
          <w:cantSplit/>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Chambers</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[Chambers or floor]</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Effective from</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Next review</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 not later than 12 months]</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Applies to</w:t>
            </w:r>
          </w:p>
        </w:tc>
        <w:tc>
          <w:tcPr>
            <w:tcW w:type="dxa" w:w="3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The barrister, and any reader, devilling barrister, clerk or member of staff with access to a brief</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bl>
    <w:p>
      <w:pPr>
        <w:spacing w:after="240"/>
      </w:pPr>
      <w:r>
        <w:rPr>
          <w:rFonts w:ascii="Calibri" w:cs="Calibri" w:eastAsia="Calibri" w:hAnsi="Calibri"/>
          <w:b w:val="false"/>
          <w:bCs w:val="false"/>
          <w:i w:val="false"/>
          <w:iCs w:val="false"/>
          <w:sz w:val="21"/>
          <w:szCs w:val="21"/>
        </w:rPr>
        <w:t xml:space="preserve"/>
      </w:r>
    </w:p>
    <w:p>
      <w:pPr>
        <w:spacing w:after="200" w:line="240"/>
        <w:ind w:left="340" w:right="340"/>
        <w:jc w:val="both"/>
      </w:pPr>
      <w:r>
        <w:rPr>
          <w:rFonts w:ascii="Calibri" w:cs="Calibri" w:eastAsia="Calibri" w:hAnsi="Calibri"/>
          <w:b w:val="false"/>
          <w:bCs w:val="false"/>
          <w:i/>
          <w:iCs/>
          <w:color w:val="595959"/>
          <w:sz w:val="19"/>
          <w:szCs w:val="19"/>
        </w:rPr>
        <w:t xml:space="preserve">This is a template. Fields in square brackets must be completed before adoption. It is drafted for adoption by an individual barrister, with a chambers annex at Schedule 9 for arrangements that can only be made at floor level. Because a barrister must be a sole practitioner, chambers cannot adopt this protocol on a barrister's behalf and cannot assume any obligation this protocol addresses. Schedule 5 must be completed with the instruments in force in each jurisdiction in which the barrister appears.</w:t>
      </w:r>
    </w:p>
    <w:p>
      <w:pPr>
        <w:pageBreakBefore/>
        <w:spacing w:after="140" w:before="200"/>
      </w:pPr>
      <w:r>
        <w:rPr>
          <w:rFonts w:ascii="Calibri" w:cs="Calibri" w:eastAsia="Calibri" w:hAnsi="Calibri"/>
          <w:b/>
          <w:bCs/>
          <w:i w:val="false"/>
          <w:iCs w:val="false"/>
          <w:color w:val="000000"/>
          <w:sz w:val="24"/>
          <w:szCs w:val="24"/>
        </w:rPr>
        <w:t xml:space="preserve">Contents</w:t>
      </w:r>
    </w:p>
    <w:p>
      <w:pPr>
        <w:spacing w:after="40"/>
        <w:ind w:left="340"/>
      </w:pPr>
      <w:r>
        <w:rPr>
          <w:rFonts w:ascii="Calibri" w:cs="Calibri" w:eastAsia="Calibri" w:hAnsi="Calibri"/>
          <w:b w:val="false"/>
          <w:bCs w:val="false"/>
          <w:i w:val="false"/>
          <w:iCs w:val="false"/>
          <w:sz w:val="20"/>
          <w:szCs w:val="20"/>
        </w:rPr>
        <w:t xml:space="preserve">1  Purpose and status</w:t>
      </w:r>
    </w:p>
    <w:p>
      <w:pPr>
        <w:spacing w:after="40"/>
        <w:ind w:left="340"/>
      </w:pPr>
      <w:r>
        <w:rPr>
          <w:rFonts w:ascii="Calibri" w:cs="Calibri" w:eastAsia="Calibri" w:hAnsi="Calibri"/>
          <w:b w:val="false"/>
          <w:bCs w:val="false"/>
          <w:i w:val="false"/>
          <w:iCs w:val="false"/>
          <w:sz w:val="20"/>
          <w:szCs w:val="20"/>
        </w:rPr>
        <w:t xml:space="preserve">2  Application</w:t>
      </w:r>
    </w:p>
    <w:p>
      <w:pPr>
        <w:spacing w:after="40"/>
        <w:ind w:left="340"/>
      </w:pPr>
      <w:r>
        <w:rPr>
          <w:rFonts w:ascii="Calibri" w:cs="Calibri" w:eastAsia="Calibri" w:hAnsi="Calibri"/>
          <w:b w:val="false"/>
          <w:bCs w:val="false"/>
          <w:i w:val="false"/>
          <w:iCs w:val="false"/>
          <w:sz w:val="20"/>
          <w:szCs w:val="20"/>
        </w:rPr>
        <w:t xml:space="preserve">3  Definitions</w:t>
      </w:r>
    </w:p>
    <w:p>
      <w:pPr>
        <w:spacing w:after="40"/>
        <w:ind w:left="340"/>
      </w:pPr>
      <w:r>
        <w:rPr>
          <w:rFonts w:ascii="Calibri" w:cs="Calibri" w:eastAsia="Calibri" w:hAnsi="Calibri"/>
          <w:b w:val="false"/>
          <w:bCs w:val="false"/>
          <w:i w:val="false"/>
          <w:iCs w:val="false"/>
          <w:sz w:val="20"/>
          <w:szCs w:val="20"/>
        </w:rPr>
        <w:t xml:space="preserve">4  The obligations this protocol serves</w:t>
      </w:r>
    </w:p>
    <w:p>
      <w:pPr>
        <w:spacing w:after="40"/>
        <w:ind w:left="340"/>
      </w:pPr>
      <w:r>
        <w:rPr>
          <w:rFonts w:ascii="Calibri" w:cs="Calibri" w:eastAsia="Calibri" w:hAnsi="Calibri"/>
          <w:b w:val="false"/>
          <w:bCs w:val="false"/>
          <w:i w:val="false"/>
          <w:iCs w:val="false"/>
          <w:sz w:val="20"/>
          <w:szCs w:val="20"/>
        </w:rPr>
        <w:t xml:space="preserve">5  Releasing work under your name</w:t>
      </w:r>
    </w:p>
    <w:p>
      <w:pPr>
        <w:spacing w:after="40"/>
        <w:ind w:left="340"/>
      </w:pPr>
      <w:r>
        <w:rPr>
          <w:rFonts w:ascii="Calibri" w:cs="Calibri" w:eastAsia="Calibri" w:hAnsi="Calibri"/>
          <w:b w:val="false"/>
          <w:bCs w:val="false"/>
          <w:i w:val="false"/>
          <w:iCs w:val="false"/>
          <w:sz w:val="20"/>
          <w:szCs w:val="20"/>
        </w:rPr>
        <w:t xml:space="preserve">6  Suitability</w:t>
      </w:r>
    </w:p>
    <w:p>
      <w:pPr>
        <w:spacing w:after="40"/>
        <w:ind w:left="340"/>
      </w:pPr>
      <w:r>
        <w:rPr>
          <w:rFonts w:ascii="Calibri" w:cs="Calibri" w:eastAsia="Calibri" w:hAnsi="Calibri"/>
          <w:b w:val="false"/>
          <w:bCs w:val="false"/>
          <w:i w:val="false"/>
          <w:iCs w:val="false"/>
          <w:sz w:val="20"/>
          <w:szCs w:val="20"/>
        </w:rPr>
        <w:t xml:space="preserve">7  Approved tools</w:t>
      </w:r>
    </w:p>
    <w:p>
      <w:pPr>
        <w:spacing w:after="40"/>
        <w:ind w:left="340"/>
      </w:pPr>
      <w:r>
        <w:rPr>
          <w:rFonts w:ascii="Calibri" w:cs="Calibri" w:eastAsia="Calibri" w:hAnsi="Calibri"/>
          <w:b w:val="false"/>
          <w:bCs w:val="false"/>
          <w:i w:val="false"/>
          <w:iCs w:val="false"/>
          <w:sz w:val="20"/>
          <w:szCs w:val="20"/>
        </w:rPr>
        <w:t xml:space="preserve">8  Prohibited uses</w:t>
      </w:r>
    </w:p>
    <w:p>
      <w:pPr>
        <w:spacing w:after="40"/>
        <w:ind w:left="340"/>
      </w:pPr>
      <w:r>
        <w:rPr>
          <w:rFonts w:ascii="Calibri" w:cs="Calibri" w:eastAsia="Calibri" w:hAnsi="Calibri"/>
          <w:b w:val="false"/>
          <w:bCs w:val="false"/>
          <w:i w:val="false"/>
          <w:iCs w:val="false"/>
          <w:sz w:val="20"/>
          <w:szCs w:val="20"/>
        </w:rPr>
        <w:t xml:space="preserve">9  Confidential information and consent</w:t>
      </w:r>
    </w:p>
    <w:p>
      <w:pPr>
        <w:spacing w:after="40"/>
        <w:ind w:left="340"/>
      </w:pPr>
      <w:r>
        <w:rPr>
          <w:rFonts w:ascii="Calibri" w:cs="Calibri" w:eastAsia="Calibri" w:hAnsi="Calibri"/>
          <w:b w:val="false"/>
          <w:bCs w:val="false"/>
          <w:i w:val="false"/>
          <w:iCs w:val="false"/>
          <w:sz w:val="20"/>
          <w:szCs w:val="20"/>
        </w:rPr>
        <w:t xml:space="preserve">10  Restricted information</w:t>
      </w:r>
    </w:p>
    <w:p>
      <w:pPr>
        <w:spacing w:after="40"/>
        <w:ind w:left="340"/>
      </w:pPr>
      <w:r>
        <w:rPr>
          <w:rFonts w:ascii="Calibri" w:cs="Calibri" w:eastAsia="Calibri" w:hAnsi="Calibri"/>
          <w:b w:val="false"/>
          <w:bCs w:val="false"/>
          <w:i w:val="false"/>
          <w:iCs w:val="false"/>
          <w:sz w:val="20"/>
          <w:szCs w:val="20"/>
        </w:rPr>
        <w:t xml:space="preserve">11  Verification</w:t>
      </w:r>
    </w:p>
    <w:p>
      <w:pPr>
        <w:spacing w:after="40"/>
        <w:ind w:left="340"/>
      </w:pPr>
      <w:r>
        <w:rPr>
          <w:rFonts w:ascii="Calibri" w:cs="Calibri" w:eastAsia="Calibri" w:hAnsi="Calibri"/>
          <w:b w:val="false"/>
          <w:bCs w:val="false"/>
          <w:i w:val="false"/>
          <w:iCs w:val="false"/>
          <w:sz w:val="20"/>
          <w:szCs w:val="20"/>
        </w:rPr>
        <w:t xml:space="preserve">12  Disclosure to courts and tribunals</w:t>
      </w:r>
    </w:p>
    <w:p>
      <w:pPr>
        <w:spacing w:after="40"/>
        <w:ind w:left="340"/>
      </w:pPr>
      <w:r>
        <w:rPr>
          <w:rFonts w:ascii="Calibri" w:cs="Calibri" w:eastAsia="Calibri" w:hAnsi="Calibri"/>
          <w:b w:val="false"/>
          <w:bCs w:val="false"/>
          <w:i w:val="false"/>
          <w:iCs w:val="false"/>
          <w:sz w:val="20"/>
          <w:szCs w:val="20"/>
        </w:rPr>
        <w:t xml:space="preserve">13  Bias, discrimination and offensive output</w:t>
      </w:r>
    </w:p>
    <w:p>
      <w:pPr>
        <w:spacing w:after="40"/>
        <w:ind w:left="340"/>
      </w:pPr>
      <w:r>
        <w:rPr>
          <w:rFonts w:ascii="Calibri" w:cs="Calibri" w:eastAsia="Calibri" w:hAnsi="Calibri"/>
          <w:b w:val="false"/>
          <w:bCs w:val="false"/>
          <w:i w:val="false"/>
          <w:iCs w:val="false"/>
          <w:sz w:val="20"/>
          <w:szCs w:val="20"/>
        </w:rPr>
        <w:t xml:space="preserve">14  Copyright and ownership</w:t>
      </w:r>
    </w:p>
    <w:p>
      <w:pPr>
        <w:spacing w:after="40"/>
        <w:ind w:left="340"/>
      </w:pPr>
      <w:r>
        <w:rPr>
          <w:rFonts w:ascii="Calibri" w:cs="Calibri" w:eastAsia="Calibri" w:hAnsi="Calibri"/>
          <w:b w:val="false"/>
          <w:bCs w:val="false"/>
          <w:i w:val="false"/>
          <w:iCs w:val="false"/>
          <w:sz w:val="20"/>
          <w:szCs w:val="20"/>
        </w:rPr>
        <w:t xml:space="preserve">15  Fees</w:t>
      </w:r>
    </w:p>
    <w:p>
      <w:pPr>
        <w:spacing w:after="40"/>
        <w:ind w:left="340"/>
      </w:pPr>
      <w:r>
        <w:rPr>
          <w:rFonts w:ascii="Calibri" w:cs="Calibri" w:eastAsia="Calibri" w:hAnsi="Calibri"/>
          <w:b w:val="false"/>
          <w:bCs w:val="false"/>
          <w:i w:val="false"/>
          <w:iCs w:val="false"/>
          <w:sz w:val="20"/>
          <w:szCs w:val="20"/>
        </w:rPr>
        <w:t xml:space="preserve">16  Recording, transcription and note-taking</w:t>
      </w:r>
    </w:p>
    <w:p>
      <w:pPr>
        <w:spacing w:after="40"/>
        <w:ind w:left="340"/>
      </w:pPr>
      <w:r>
        <w:rPr>
          <w:rFonts w:ascii="Calibri" w:cs="Calibri" w:eastAsia="Calibri" w:hAnsi="Calibri"/>
          <w:b w:val="false"/>
          <w:bCs w:val="false"/>
          <w:i w:val="false"/>
          <w:iCs w:val="false"/>
          <w:sz w:val="20"/>
          <w:szCs w:val="20"/>
        </w:rPr>
        <w:t xml:space="preserve">17  Records</w:t>
      </w:r>
    </w:p>
    <w:p>
      <w:pPr>
        <w:spacing w:after="40"/>
        <w:ind w:left="340"/>
      </w:pPr>
      <w:r>
        <w:rPr>
          <w:rFonts w:ascii="Calibri" w:cs="Calibri" w:eastAsia="Calibri" w:hAnsi="Calibri"/>
          <w:b w:val="false"/>
          <w:bCs w:val="false"/>
          <w:i w:val="false"/>
          <w:iCs w:val="false"/>
          <w:sz w:val="20"/>
          <w:szCs w:val="20"/>
        </w:rPr>
        <w:t xml:space="preserve">18  Readers, devils and staff</w:t>
      </w:r>
    </w:p>
    <w:p>
      <w:pPr>
        <w:spacing w:after="40"/>
        <w:ind w:left="340"/>
      </w:pPr>
      <w:r>
        <w:rPr>
          <w:rFonts w:ascii="Calibri" w:cs="Calibri" w:eastAsia="Calibri" w:hAnsi="Calibri"/>
          <w:b w:val="false"/>
          <w:bCs w:val="false"/>
          <w:i w:val="false"/>
          <w:iCs w:val="false"/>
          <w:sz w:val="20"/>
          <w:szCs w:val="20"/>
        </w:rPr>
        <w:t xml:space="preserve">19  Chambers arrangements</w:t>
      </w:r>
    </w:p>
    <w:p>
      <w:pPr>
        <w:spacing w:after="40"/>
        <w:ind w:left="340"/>
      </w:pPr>
      <w:r>
        <w:rPr>
          <w:rFonts w:ascii="Calibri" w:cs="Calibri" w:eastAsia="Calibri" w:hAnsi="Calibri"/>
          <w:b w:val="false"/>
          <w:bCs w:val="false"/>
          <w:i w:val="false"/>
          <w:iCs w:val="false"/>
          <w:sz w:val="20"/>
          <w:szCs w:val="20"/>
        </w:rPr>
        <w:t xml:space="preserve">20  Incidents</w:t>
      </w:r>
    </w:p>
    <w:p>
      <w:pPr>
        <w:spacing w:after="40"/>
        <w:ind w:left="340"/>
      </w:pPr>
      <w:r>
        <w:rPr>
          <w:rFonts w:ascii="Calibri" w:cs="Calibri" w:eastAsia="Calibri" w:hAnsi="Calibri"/>
          <w:b w:val="false"/>
          <w:bCs w:val="false"/>
          <w:i w:val="false"/>
          <w:iCs w:val="false"/>
          <w:sz w:val="20"/>
          <w:szCs w:val="20"/>
        </w:rPr>
        <w:t xml:space="preserve">21  Compliance and consequences</w:t>
      </w:r>
    </w:p>
    <w:p>
      <w:pPr>
        <w:spacing w:after="40"/>
        <w:ind w:left="340"/>
      </w:pPr>
      <w:r>
        <w:rPr>
          <w:rFonts w:ascii="Calibri" w:cs="Calibri" w:eastAsia="Calibri" w:hAnsi="Calibri"/>
          <w:b w:val="false"/>
          <w:bCs w:val="false"/>
          <w:i w:val="false"/>
          <w:iCs w:val="false"/>
          <w:sz w:val="20"/>
          <w:szCs w:val="20"/>
        </w:rPr>
        <w:t xml:space="preserve">22  Review</w:t>
      </w:r>
    </w:p>
    <w:p>
      <w:pPr>
        <w:spacing w:after="40"/>
        <w:ind w:left="340"/>
      </w:pPr>
      <w:r>
        <w:rPr>
          <w:rFonts w:ascii="Calibri" w:cs="Calibri" w:eastAsia="Calibri" w:hAnsi="Calibri"/>
          <w:b w:val="false"/>
          <w:bCs w:val="false"/>
          <w:i w:val="false"/>
          <w:iCs w:val="false"/>
          <w:sz w:val="20"/>
          <w:szCs w:val="20"/>
        </w:rPr>
        <w:t xml:space="preserve">Schedule 1  Register of tools</w:t>
      </w:r>
    </w:p>
    <w:p>
      <w:pPr>
        <w:spacing w:after="40"/>
        <w:ind w:left="340"/>
      </w:pPr>
      <w:r>
        <w:rPr>
          <w:rFonts w:ascii="Calibri" w:cs="Calibri" w:eastAsia="Calibri" w:hAnsi="Calibri"/>
          <w:b w:val="false"/>
          <w:bCs w:val="false"/>
          <w:i w:val="false"/>
          <w:iCs w:val="false"/>
          <w:sz w:val="20"/>
          <w:szCs w:val="20"/>
        </w:rPr>
        <w:t xml:space="preserve">Schedule 2  AI use record</w:t>
      </w:r>
    </w:p>
    <w:p>
      <w:pPr>
        <w:spacing w:after="40"/>
        <w:ind w:left="340"/>
      </w:pPr>
      <w:r>
        <w:rPr>
          <w:rFonts w:ascii="Calibri" w:cs="Calibri" w:eastAsia="Calibri" w:hAnsi="Calibri"/>
          <w:b w:val="false"/>
          <w:bCs w:val="false"/>
          <w:i w:val="false"/>
          <w:iCs w:val="false"/>
          <w:sz w:val="20"/>
          <w:szCs w:val="20"/>
        </w:rPr>
        <w:t xml:space="preserve">Schedule 3  Standard wordings</w:t>
      </w:r>
    </w:p>
    <w:p>
      <w:pPr>
        <w:spacing w:after="40"/>
        <w:ind w:left="340"/>
      </w:pPr>
      <w:r>
        <w:rPr>
          <w:rFonts w:ascii="Calibri" w:cs="Calibri" w:eastAsia="Calibri" w:hAnsi="Calibri"/>
          <w:b w:val="false"/>
          <w:bCs w:val="false"/>
          <w:i w:val="false"/>
          <w:iCs w:val="false"/>
          <w:sz w:val="20"/>
          <w:szCs w:val="20"/>
        </w:rPr>
        <w:t xml:space="preserve">Schedule 4  Restricted information approval</w:t>
      </w:r>
    </w:p>
    <w:p>
      <w:pPr>
        <w:spacing w:after="40"/>
        <w:ind w:left="340"/>
      </w:pPr>
      <w:r>
        <w:rPr>
          <w:rFonts w:ascii="Calibri" w:cs="Calibri" w:eastAsia="Calibri" w:hAnsi="Calibri"/>
          <w:b w:val="false"/>
          <w:bCs w:val="false"/>
          <w:i w:val="false"/>
          <w:iCs w:val="false"/>
          <w:sz w:val="20"/>
          <w:szCs w:val="20"/>
        </w:rPr>
        <w:t xml:space="preserve">Schedule 5  Instruments and guidance</w:t>
      </w:r>
    </w:p>
    <w:p>
      <w:pPr>
        <w:spacing w:after="40"/>
        <w:ind w:left="340"/>
      </w:pPr>
      <w:r>
        <w:rPr>
          <w:rFonts w:ascii="Calibri" w:cs="Calibri" w:eastAsia="Calibri" w:hAnsi="Calibri"/>
          <w:b w:val="false"/>
          <w:bCs w:val="false"/>
          <w:i w:val="false"/>
          <w:iCs w:val="false"/>
          <w:sz w:val="20"/>
          <w:szCs w:val="20"/>
        </w:rPr>
        <w:t xml:space="preserve">Schedule 6  Suitability path</w:t>
      </w:r>
    </w:p>
    <w:p>
      <w:pPr>
        <w:spacing w:after="40"/>
        <w:ind w:left="340"/>
      </w:pPr>
      <w:r>
        <w:rPr>
          <w:rFonts w:ascii="Calibri" w:cs="Calibri" w:eastAsia="Calibri" w:hAnsi="Calibri"/>
          <w:b w:val="false"/>
          <w:bCs w:val="false"/>
          <w:i w:val="false"/>
          <w:iCs w:val="false"/>
          <w:sz w:val="20"/>
          <w:szCs w:val="20"/>
        </w:rPr>
        <w:t xml:space="preserve">Schedule 7  Indicators of unverified use</w:t>
      </w:r>
    </w:p>
    <w:p>
      <w:pPr>
        <w:spacing w:after="40"/>
        <w:ind w:left="340"/>
      </w:pPr>
      <w:r>
        <w:rPr>
          <w:rFonts w:ascii="Calibri" w:cs="Calibri" w:eastAsia="Calibri" w:hAnsi="Calibri"/>
          <w:b w:val="false"/>
          <w:bCs w:val="false"/>
          <w:i w:val="false"/>
          <w:iCs w:val="false"/>
          <w:sz w:val="20"/>
          <w:szCs w:val="20"/>
        </w:rPr>
        <w:t xml:space="preserve">Schedule 8  Application settings</w:t>
      </w:r>
    </w:p>
    <w:p>
      <w:pPr>
        <w:spacing w:after="40"/>
        <w:ind w:left="340"/>
      </w:pPr>
      <w:r>
        <w:rPr>
          <w:rFonts w:ascii="Calibri" w:cs="Calibri" w:eastAsia="Calibri" w:hAnsi="Calibri"/>
          <w:b w:val="false"/>
          <w:bCs w:val="false"/>
          <w:i w:val="false"/>
          <w:iCs w:val="false"/>
          <w:sz w:val="20"/>
          <w:szCs w:val="20"/>
        </w:rPr>
        <w:t xml:space="preserve">Schedule 9  Chambers annex</w:t>
      </w:r>
    </w:p>
    <w:p>
      <w:pPr>
        <w:spacing w:after="40"/>
        <w:ind w:left="340"/>
      </w:pPr>
      <w:r>
        <w:rPr>
          <w:rFonts w:ascii="Calibri" w:cs="Calibri" w:eastAsia="Calibri" w:hAnsi="Calibri"/>
          <w:b w:val="false"/>
          <w:bCs w:val="false"/>
          <w:i w:val="false"/>
          <w:iCs w:val="false"/>
          <w:sz w:val="20"/>
          <w:szCs w:val="20"/>
        </w:rPr>
        <w:t xml:space="preserve">Schedule 10  Quick reference</w:t>
      </w:r>
    </w:p>
    <w:p>
      <w:pPr>
        <w:spacing w:after="40"/>
        <w:ind w:left="340"/>
      </w:pPr>
      <w:r>
        <w:rPr>
          <w:rFonts w:ascii="Calibri" w:cs="Calibri" w:eastAsia="Calibri" w:hAnsi="Calibri"/>
          <w:b w:val="false"/>
          <w:bCs w:val="false"/>
          <w:i w:val="false"/>
          <w:iCs w:val="false"/>
          <w:sz w:val="20"/>
          <w:szCs w:val="20"/>
        </w:rPr>
        <w:t xml:space="preserve">Schedule 11  Acknowledgment</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  Purpose and status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protocol states the conditions on which [Barrister or Chambers] uses artificial intelligence in practice. It is directed at four risks: the use or disclosure of confidential information contrary to rule 114 of the Legal Profession Uniform Conduct (Barristers) Rules 2015, the presentation of inaccurate material to a court, the erosion of the independent forensic judgment the Rules require, and the loss of any record of what was done.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barrister must be a sole practitioner. There is no practice entity to hold these obligations, no principal to supervise their discharge, and no equivalent of the supervision rule that applies to a solicitor's practice. Each barrister is personally accountable for every use of a tool in their practice and for all work released under their name, including work done for them by a reader or by another barrister devilling under rule 113.</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Artificial intelligence is not a substitute for the exercise of professional judgment in matters of law, and it cannot be used in ignorance of the Rules. A client is entitled to expect that work done on a brief is the barrister's own work and reflects the application of the barrister's own skill, knowledge, experience and judgment. If a tool is used, its use must supplement and must not substitute for those things.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New South Wales Bar Association has published guidance on the issues arising from the use of AI language models in legal practice. That guidance records that it may be considered by Bar Council in relation to any complaint about a barrister's use of such tools, and that conduct contrary to the Rules may give rise to a complaint or disciplinary action. This protocol is drafted to that guidance and to the equivalent guidance of the Bar Association of the jurisdiction in which the barrister practises, as recorded in Schedule 5.</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Nothing in this protocol encourages or approves the use of any tool. It states the obligations that must be considered before use, and that must not be breached in the event of use.</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2  Application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protocol applies to the barrister who adopts it, and to every reader, devilling barrister, clerk, secretary, research assistant, contractor and other person who does work for that barrister or has access to that barrister's briefs.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It applies to all use connected with practice, whether on a chambers device or a personal device, whether in chambers or elsewhere, and whether the work is the subject of a fee.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reader shown a brief, and a barrister doing work under a devilling arrangement, is bound by the same duties of confidentiality as the barrister whose brief it is, including the duties imposed by rules 114 and 115. Each must comply with this protocol in relation to that brief, and the briefed barrister remains personally responsible for the work.</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the barrister is instructed by a solicitor, the requirements of this protocol that concern consent and disclosure are ordinarily discharged through the instructing solicitor. Where the barrister accepts instructions directly, they are discharged with the client.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Personal use of an unapproved tool for matters unconnected with practice is not governed by this protocol, provided no information obtained in the course of practice is entered into it and no output is used in practice without the assessment required by clause 7.</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3  Definitions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3.1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 this protocol the following definitions apply. They follow the definitions used by the courts, so that this protocol and the instruments at Schedule 5 speak the same language.</w:t>
      </w:r>
    </w:p>
    <w:p>
      <w:pPr>
        <w:spacing w:after="140" w:line="240"/>
        <w:ind w:left="680"/>
        <w:jc w:val="both"/>
      </w:pPr>
      <w:r>
        <w:rPr>
          <w:rFonts w:ascii="Calibri" w:cs="Calibri" w:eastAsia="Calibri" w:hAnsi="Calibri"/>
          <w:b/>
          <w:bCs/>
          <w:i w:val="false"/>
          <w:iCs w:val="false"/>
          <w:sz w:val="21"/>
          <w:szCs w:val="21"/>
        </w:rPr>
        <w:t xml:space="preserve">AI </w:t>
      </w:r>
      <w:r>
        <w:rPr>
          <w:rFonts w:ascii="Calibri" w:cs="Calibri" w:eastAsia="Calibri" w:hAnsi="Calibri"/>
          <w:b w:val="false"/>
          <w:bCs w:val="false"/>
          <w:i w:val="false"/>
          <w:iCs w:val="false"/>
          <w:sz w:val="21"/>
          <w:szCs w:val="21"/>
        </w:rPr>
        <w:t xml:space="preserve">means a machine-based system that, for explicit or implicit objectives, infers from the input it receives how to generate outputs such as predictions, content, recommendations or decisions. It is an umbrella term that includes generative AI, public AI and closed AI.</w:t>
      </w:r>
    </w:p>
    <w:p>
      <w:pPr>
        <w:spacing w:after="140" w:line="240"/>
        <w:ind w:left="680"/>
        <w:jc w:val="both"/>
      </w:pPr>
      <w:r>
        <w:rPr>
          <w:rFonts w:ascii="Calibri" w:cs="Calibri" w:eastAsia="Calibri" w:hAnsi="Calibri"/>
          <w:b/>
          <w:bCs/>
          <w:i w:val="false"/>
          <w:iCs w:val="false"/>
          <w:sz w:val="21"/>
          <w:szCs w:val="21"/>
        </w:rPr>
        <w:t xml:space="preserve">generative AI </w:t>
      </w:r>
      <w:r>
        <w:rPr>
          <w:rFonts w:ascii="Calibri" w:cs="Calibri" w:eastAsia="Calibri" w:hAnsi="Calibri"/>
          <w:b w:val="false"/>
          <w:bCs w:val="false"/>
          <w:i w:val="false"/>
          <w:iCs w:val="false"/>
          <w:sz w:val="21"/>
          <w:szCs w:val="21"/>
        </w:rPr>
        <w:t xml:space="preserve">means a system that generates content as text, images, music, audio, video, code or structured data based on a user's prompts.</w:t>
      </w:r>
    </w:p>
    <w:p>
      <w:pPr>
        <w:spacing w:after="140" w:line="240"/>
        <w:ind w:left="680"/>
        <w:jc w:val="both"/>
      </w:pPr>
      <w:r>
        <w:rPr>
          <w:rFonts w:ascii="Calibri" w:cs="Calibri" w:eastAsia="Calibri" w:hAnsi="Calibri"/>
          <w:b/>
          <w:bCs/>
          <w:i w:val="false"/>
          <w:iCs w:val="false"/>
          <w:sz w:val="21"/>
          <w:szCs w:val="21"/>
        </w:rPr>
        <w:t xml:space="preserve">public AI </w:t>
      </w:r>
      <w:r>
        <w:rPr>
          <w:rFonts w:ascii="Calibri" w:cs="Calibri" w:eastAsia="Calibri" w:hAnsi="Calibri"/>
          <w:b w:val="false"/>
          <w:bCs w:val="false"/>
          <w:i w:val="false"/>
          <w:iCs w:val="false"/>
          <w:sz w:val="21"/>
          <w:szCs w:val="21"/>
        </w:rPr>
        <w:t xml:space="preserve">means a tool openly accessible to the public, typically over the internet, trained on broad and often public datasets for general purpose use. It includes free and personal-subscription accounts of otherwise commercial products, tools embedded in consumer software, and any tool whose terms permit the supplier to use inputs to train a model.</w:t>
      </w:r>
    </w:p>
    <w:p>
      <w:pPr>
        <w:spacing w:after="140" w:line="240"/>
        <w:ind w:left="680"/>
        <w:jc w:val="both"/>
      </w:pPr>
      <w:r>
        <w:rPr>
          <w:rFonts w:ascii="Calibri" w:cs="Calibri" w:eastAsia="Calibri" w:hAnsi="Calibri"/>
          <w:b/>
          <w:bCs/>
          <w:i w:val="false"/>
          <w:iCs w:val="false"/>
          <w:sz w:val="21"/>
          <w:szCs w:val="21"/>
        </w:rPr>
        <w:t xml:space="preserve">closed AI </w:t>
      </w:r>
      <w:r>
        <w:rPr>
          <w:rFonts w:ascii="Calibri" w:cs="Calibri" w:eastAsia="Calibri" w:hAnsi="Calibri"/>
          <w:b w:val="false"/>
          <w:bCs w:val="false"/>
          <w:i w:val="false"/>
          <w:iCs w:val="false"/>
          <w:sz w:val="21"/>
          <w:szCs w:val="21"/>
        </w:rPr>
        <w:t xml:space="preserve">means a tool that is not openly accessible to the public, where information used in the tool remains within a controlled environment and there are controls or settings that protect information from being made publicly available or used to train the tool.</w:t>
      </w:r>
    </w:p>
    <w:p>
      <w:pPr>
        <w:spacing w:after="140" w:line="240"/>
        <w:ind w:left="680"/>
        <w:jc w:val="both"/>
      </w:pPr>
      <w:r>
        <w:rPr>
          <w:rFonts w:ascii="Calibri" w:cs="Calibri" w:eastAsia="Calibri" w:hAnsi="Calibri"/>
          <w:b/>
          <w:bCs/>
          <w:i w:val="false"/>
          <w:iCs w:val="false"/>
          <w:sz w:val="21"/>
          <w:szCs w:val="21"/>
        </w:rPr>
        <w:t xml:space="preserve">approved tool </w:t>
      </w:r>
      <w:r>
        <w:rPr>
          <w:rFonts w:ascii="Calibri" w:cs="Calibri" w:eastAsia="Calibri" w:hAnsi="Calibri"/>
          <w:b w:val="false"/>
          <w:bCs w:val="false"/>
          <w:i w:val="false"/>
          <w:iCs w:val="false"/>
          <w:sz w:val="21"/>
          <w:szCs w:val="21"/>
        </w:rPr>
        <w:t xml:space="preserve">means a closed AI tool recorded in the register at Schedule 1, used through the account recorded there, in the configuration recorded there, and for the purposes recorded there.</w:t>
      </w:r>
    </w:p>
    <w:p>
      <w:pPr>
        <w:spacing w:after="160" w:line="240"/>
        <w:ind w:left="680"/>
        <w:jc w:val="both"/>
      </w:pPr>
      <w:r>
        <w:rPr>
          <w:rFonts w:ascii="Calibri" w:cs="Calibri" w:eastAsia="Calibri" w:hAnsi="Calibri"/>
          <w:b w:val="false"/>
          <w:bCs w:val="false"/>
          <w:i w:val="false"/>
          <w:iCs w:val="false"/>
          <w:sz w:val="21"/>
          <w:szCs w:val="21"/>
        </w:rPr>
        <w:t xml:space="preserve">A tool does not become an approved tool because a supplier describes it as secure, private, ringfenced, enterprise or closed. That description is a claim to be tested under clause 7, not a conclusion.</w:t>
      </w:r>
    </w:p>
    <w:p>
      <w:pPr>
        <w:spacing w:after="140" w:line="240"/>
        <w:ind w:left="680"/>
        <w:jc w:val="both"/>
      </w:pPr>
      <w:r>
        <w:rPr>
          <w:rFonts w:ascii="Calibri" w:cs="Calibri" w:eastAsia="Calibri" w:hAnsi="Calibri"/>
          <w:b/>
          <w:bCs/>
          <w:i w:val="false"/>
          <w:iCs w:val="false"/>
          <w:sz w:val="21"/>
          <w:szCs w:val="21"/>
        </w:rPr>
        <w:t xml:space="preserve">confidential information </w:t>
      </w:r>
      <w:r>
        <w:rPr>
          <w:rFonts w:ascii="Calibri" w:cs="Calibri" w:eastAsia="Calibri" w:hAnsi="Calibri"/>
          <w:b w:val="false"/>
          <w:bCs w:val="false"/>
          <w:i w:val="false"/>
          <w:iCs w:val="false"/>
          <w:sz w:val="21"/>
          <w:szCs w:val="21"/>
        </w:rPr>
        <w:t xml:space="preserve">means information obtained in the course of practice concerning any person to whom a duty or obligation of confidence is owed, whether or not it identifies that person, and includes the brief and every document in it.</w:t>
      </w:r>
    </w:p>
    <w:p>
      <w:pPr>
        <w:spacing w:after="140" w:line="240"/>
        <w:ind w:left="680"/>
        <w:jc w:val="both"/>
      </w:pPr>
      <w:r>
        <w:rPr>
          <w:rFonts w:ascii="Calibri" w:cs="Calibri" w:eastAsia="Calibri" w:hAnsi="Calibri"/>
          <w:b/>
          <w:bCs/>
          <w:i w:val="false"/>
          <w:iCs w:val="false"/>
          <w:sz w:val="21"/>
          <w:szCs w:val="21"/>
        </w:rPr>
        <w:t xml:space="preserve">restricted information </w:t>
      </w:r>
      <w:r>
        <w:rPr>
          <w:rFonts w:ascii="Calibri" w:cs="Calibri" w:eastAsia="Calibri" w:hAnsi="Calibri"/>
          <w:b w:val="false"/>
          <w:bCs w:val="false"/>
          <w:i w:val="false"/>
          <w:iCs w:val="false"/>
          <w:sz w:val="21"/>
          <w:szCs w:val="21"/>
        </w:rPr>
        <w:t xml:space="preserve">means information falling within any of the categories in clause 10.2. Restricted information may only be used with an approval under clause 10.</w:t>
      </w:r>
    </w:p>
    <w:p>
      <w:pPr>
        <w:spacing w:after="140" w:line="240"/>
        <w:ind w:left="680"/>
        <w:jc w:val="both"/>
      </w:pPr>
      <w:r>
        <w:rPr>
          <w:rFonts w:ascii="Calibri" w:cs="Calibri" w:eastAsia="Calibri" w:hAnsi="Calibri"/>
          <w:b/>
          <w:bCs/>
          <w:i w:val="false"/>
          <w:iCs w:val="false"/>
          <w:sz w:val="21"/>
          <w:szCs w:val="21"/>
        </w:rPr>
        <w:t xml:space="preserve">court document </w:t>
      </w:r>
      <w:r>
        <w:rPr>
          <w:rFonts w:ascii="Calibri" w:cs="Calibri" w:eastAsia="Calibri" w:hAnsi="Calibri"/>
          <w:b w:val="false"/>
          <w:bCs w:val="false"/>
          <w:i w:val="false"/>
          <w:iCs w:val="false"/>
          <w:sz w:val="21"/>
          <w:szCs w:val="21"/>
        </w:rPr>
        <w:t xml:space="preserve">means any document filed with or provided to a court or tribunal, including a pleading, a written submission, an affidavit, a witness statement and an expert report, and includes a document settled rather than drawn by the barrister.</w:t>
      </w:r>
    </w:p>
    <w:p>
      <w:pPr>
        <w:spacing w:after="140" w:line="240"/>
        <w:ind w:left="680"/>
        <w:jc w:val="both"/>
      </w:pPr>
      <w:r>
        <w:rPr>
          <w:rFonts w:ascii="Calibri" w:cs="Calibri" w:eastAsia="Calibri" w:hAnsi="Calibri"/>
          <w:b/>
          <w:bCs/>
          <w:i w:val="false"/>
          <w:iCs w:val="false"/>
          <w:sz w:val="21"/>
          <w:szCs w:val="21"/>
        </w:rPr>
        <w:t xml:space="preserve">nominated barrister </w:t>
      </w:r>
      <w:r>
        <w:rPr>
          <w:rFonts w:ascii="Calibri" w:cs="Calibri" w:eastAsia="Calibri" w:hAnsi="Calibri"/>
          <w:b w:val="false"/>
          <w:bCs w:val="false"/>
          <w:i w:val="false"/>
          <w:iCs w:val="false"/>
          <w:sz w:val="21"/>
          <w:szCs w:val="21"/>
        </w:rPr>
        <w:t xml:space="preserve">means the barrister appointed under clause 19.2 to maintain the registers and the shared arrangements at Schedule 9. The nominated barrister does not supervise another barrister's practice, cannot give an approval under clause 10 on another barrister's behalf, and does not by that appointment assume responsibility for another barrister's compliance.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3.2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Functions that do not generate substantive content are outside this protocol. That includes spelling and grammar correction, formatting, optical character recognition, transcription and translation, provided the tool used is not a public tool and no restricted information is involved. It also includes a search engine that returns a list of results rather than a personalised answer, and dedicated legal research software that searches across legislation, judgments and legal texts without producing a personalised textual answer to a prompt.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3.3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tool used for any function described in clause 3.2 remains subject to clause 7 and clause 9 where confidential information is provided to it. Being outside the balance of this protocol does not make a tool an approved tool, and transcription, optical character recognition and translation of brief material must be carried out only through a tool recorded in Schedule 1.</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3.4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exclusion in clause 3.2 is narrow. A tool that summarises, drafts, analyses, answers a question or produces a chronology is within this protocol even where it is a feature of software already in use. The generation of chronologies, indexes and witness lists is treated as a permitted use rather than an excluded function.</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4  The obligations this protocol serves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Paramount duty and the administration of justice. A barrister owes a paramount duty to the administration of justice, and as a specialist advocate must act honestly, fairly, skilfully, bravely and with competence and diligence. A barrister must not engage in conduct that is dishonest or otherwise discreditable, prejudicial to the administration of justice, or likely to diminish public confidence in the legal profession or the administration of justice.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Independence. A barrister has an overriding duty to the court to act with independence in the interests of the administration of justice, must exercise forensic judgments and give advice independently and for the proper administration of justice notwithstanding any contrary desire of the client, and must not act as the mere mouthpiece of the client or of the instructing solicitor. The independence the Rules require is easily eroded by reliance on a tool, which is the reason for clause 5.</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Duty not to mislead, and the duty to correct. A barrister must not deceive or knowingly or recklessly mislead the court, and must take all necessary steps to correct any misleading statement made to a court as soon as possible after becoming aware that it was misleading. A citation that does not exist, or a passage that does not say what the submission asserts, engages both obligations, and the second is not discharged by silence.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Adverse authority. A barrister must inform the court of any binding authority, any authority of an Australian appellate court where there is none binding, and any applicable legislation, known to the barrister and reasonably believed to be directly in point against the client's case. A tool that returns only supporting authority does not discharge that duty and may conceal the material that engages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Proper basis for allegations. A barrister must not allege a matter of fact in a court document settled by the barrister, in a submission, or in an opening or closing address, unless the barrister believes on reasonable grounds that the factual material already available provides a proper basis. For the purposes of the Rules, alleging includes settling pleadings, affidavits and witness statements, and reading or tendering them, whether or not the barrister drew them. An allegation generated by a tool has no proper basis until the barrister has found one.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Confidentiality. A barrister must not disclose, except as compelled by law, or use in any way confidential information obtained in the course of practice concerning a person to whom a duty of confidence is owed, unless that person has consented to the disclosure or use generally or on specific terms. Where consent is given on specific terms, the information must not be used other than as those terms permit. See clause 9, which explains why this is a stricter starting point than the equivalent rule for solicitors.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Conflicts arising from confidential information. A barrister must refuse or return a brief where the barrister holds information confidential to another person in the case which may as a real possibility be material, and the person entitled to the confidentiality has not consented. A shared system that gives one barrister access to another's brief material is capable of disqualifying the first barrister from a brief they would otherwise be free to accept. See clause 19.</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4.8</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Discrimination, sexual harassment and bullying. A barrister must not, in the course of or in connection with legal practice or their profession, engage in conduct constituting discrimination, sexual harassment or bullying. Output that reproduces biased, discriminatory or offensive language, if adopted in work or communications, is capable of contravening that rule and rule 8. See clause 13.</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4.9</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Competence and care. A barrister owes a duty to exercise reasonable care and skill, and must demonstrate the competence and skill reasonably expected of barristers practising in the field. A barrister who does not understand what a tool does with the information given to it is not in a position to judge whether using it is consistent with that duty.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4.10</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Fees. Where a tool reduces the time a task takes, the time charged must reflect the time actually spent. See clause 15.</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4.11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Court and tribunal instruments. The courts and tribunals in which the barrister appears impose specific requirements which bind the barrister directly and are not mediated by the instructing solicitor. Those in force are listed at Schedule 5 and prevail over this protocol to the extent of any inconsistency.</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5  Releasing work under your name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5.1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Work is released under the barrister's name to a client, an instructing solicitor, an opponent or a decision-making body only where the barrister:</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has exercised independent forensic judgment on it;</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has advised independently;</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has reviewed it and edited it where necessary;</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(d)</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believes it to be correct and reliable, based on their own training, experience and research; and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(e)</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can independently explain and support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5.2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fifth limb is the practical test. A barrister must be in a position to defend the professional judgment embodied in the work, on their feet and without the tool. Work that cannot be explained and supported without recourse to the tool that produced it is not to be released, whatever its apparent quality.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5.3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Clause 5.1 applies to work done by a reader or by a devilling barrister in the same terms. Devilled work is delivered under the name of the barrister briefed, who takes full personal responsibility for it, so the briefed barrister must satisfy each limb personally and cannot rely on the other barrister having done so.</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5.4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tool is used, the barrister must be able to identify which parts of the work it contributed to, and to explain how each was verified. That requirement comes from the courts as well as from this protocol. See clause 11 and clause 17.</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6  Suitability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Before using an approved tool on a task, the barrister considers whether the task is one for which a tool is suitable at all. The path at Schedule 6 records the questions to ask.</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Lower-risk tasks, where the output is readily verified, are the ordinary field of use. They include summarising or reviewing documents and transcripts, producing a chronology, index or witness list from source documents, preparing a first draft of correspondence, suggesting the structure of an argument, and legal research to be checked against primary sources.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Higher-risk tasks require the barrister's own analysis before any output is used, and are not to be delegated to a reader or a devilling barrister on the strength of a tool's output. They include analysing an unfamiliar area of law, advising on the application of law to facts, assessing the prospects of a case, and any task where an error would not be apparent on review.</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tool must not be used to make a decision that the Rules require the barrister to make. That includes whether to accept or return a brief, whether a conflict exists, what forensic judgment to exercise in the conduct of a case, whether a factual allegation has a proper basis, whether authority is adverse and must be disclosed to the court, and what to advise. A tool may inform such a decision. It cannot make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6.5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Output must be assessed for register as well as accuracy. These tools write with unwarranted confidence, and advice will often need qualifications and reservations added before it is fit to send. Responses to the same prompt may differ from one occasion to the next, so an answer obtained once cannot be assumed to be reproducible.</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7  Approved tools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Confidential information may only be entered into an approved tool, and then only where clause 9 is satisfied. Confidential information must not be entered into a public tool in any form, including a form the user considers anonymised.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Anonymisation is not a substitute for using an approved tool. In a matter of any substance the combination of facts, dates, amounts and locations required to obtain a useful answer will often identify the client or the case to a reader who knows the field, and re-identification is outside the barrister's control once the material has been sent.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tool is recorded in Schedule 1 by the barrister, or for a shared tool by the nominated barrister under Schedule 9. Recording a tool in a chambers register does not oblige any barrister to use it, and does not relieve a barrister who uses it of the assessment required by this clause.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Before a tool is used on any brief material, the barrister must establish and record: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terms of service, and that use of the tool is consistent with them;</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the supplier does not use inputs or outputs to train its models, and that this is a term of the contract rather than a setting a user can alter;</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what rights the supplier takes over inputs, and whether anything in the terms operates as a waiver of confidentiality or privilege;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(d)</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how prompts, inputs and outputs are stored, for how long and by whom;</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(e)</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the data is processed and stored, and if outside Australia, what follows for the barrister's obligations;</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(f)</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whether the barrister's data is separated from that of every other user, including in any retrieval, embedding, memory or caching layer, and in the case of a shared chambers tool, from that of every other member;</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(g)</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what record the barrister can obtain of what was sent and when;</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(h)</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what the tool records or retains on the local device; and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(i)</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express decision to use that tool, and the date of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requirement in clause 7.4(a) and (i) exists because terms of service change frequently and often without notice. The terms accepted at the time of use may not be the terms recorded when the tool was first assessed, so the record must be dated and must be revisited at each review.</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choice exists, preference is given to a tool that presents its output so that the barrister can interrogate the sources or authorities on which it is based.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setting that a user can change is not a control that can be relied on to establish any matter in clause 7.4. Where a matter depends on a setting, it must be enforced by the account, by managed policy or by contract, and where enforcement of that kind is not available the tool is not approved for use with confidential information.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7.8</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Personal and free accounts must not be used on any brief, even where the underlying product is the same as an approved tool. The account determines the terms, the retention period and whether inputs are used for training.</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7.9</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Approvals are reviewed at least annually and on any material change to the supplier's terms. Schedule 8 records, for each application in use, what is required before it may be used and what the evidence must contain.</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8  Prohibited uses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following are prohibited without exception:</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entering confidential information into a public tool;</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using a tool not recorded in Schedule 1 on any brief;</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generating the content of an affidavit, a witness statement, a character reference or any other document intended to record or reflect a person's own evidence or opinion, and using a tool to alter, embellish, strengthen, dilute or otherwise rephrase a witness's evidence once it is in written form;</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(d)</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using a tool in the course of settling an affidavit or witness statement in a way that changes the deponent's account, as distinct from identifying an inconsistency or a gap for the barrister to raise in conference;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(e)</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using restricted information without an approval under clause 10;</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(f)</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releasing work under the barrister's name that does not satisfy clause 5.1;</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(g)</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representing to a court, a client, an instructing solicitor or an opponent that material has been verified when it has not, or misleading any of them as to the nature of the work undertaken;</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(h)</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using a tool to draft or prepare the content of an expert report, or any part of one, without prior leave of the court where leave is required; and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(i)</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using an AI recording, transcription or note-taking tool during a hearing, or in a courtroom or court precinct. See clause 16.</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Work preparatory to the drafting of a witness's evidence is not prohibited by clause 8.1(c). Preparing a chronology, an index, a list of topics for conference or a summary of documents for the barrister's own use is permitted. The line is that the affidavit or statement must be sworn, affirmed or finalised in a form that reflects the witness's own knowledge and the witness's own words. A barrister who settles such a document is alleging its contents for the purposes of the Rules and takes responsibility accordingly.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tool must not be used to coach a witness, and output must not be used to advise a witness what answers to give. Testing a version of evidence in conference remains permissible, and a tool may assist the barrister to identify what to test, but the questions and the judgment remain the barrister's.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8.4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applications listed in Part D of Schedule 8 must not be used for any purpose connected with practice.</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9  Confidential information and consent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clause is the point at which a barrister's position differs most from a solicitor's, and it should be read before any tool is used on a brief.</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confidentiality rule that applies to solicitors excludes from its prohibition disclosure to a barrister or an employee of, or person otherwise engaged by, the law practice or an associated entity, for the purposes of delivering or administering legal services in relation to the client. A solicitor engaging a supplier for the purposes of the matter can therefore rely on that exclusion. The rule that applies to barristers has no equivalent. It provides that a barrister does not breach the confidentiality rules simply by showing a brief to, or disclosing information in it to, the instructing solicitor in the matter, a member of the barrister's staff for the purposes of clerical or administrative work, a reader, or another barrister doing work permitted by the devilling rule. That is a closed list, and a technology supplier is not on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It follows that entering confidential information into a tool is a use of that information for which the barrister requires the consent of the person entitled to the confidence, unless the use falls within one of the categories in clause 9.2. Where consent is given on specific terms, the information must not be used other than as those terms permit.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Consent is obtained before the tool is used, ordinarily through the instructing solicitor, and is recorded on the brief. The request identifies the tool, what it will be used for, that the supplier does not train on inputs, where the data is processed, and the limitations of the tool. The wording at Schedule 3 may be used. For the purposes of this protocol, a general statement in a costs agreement or a fee disclosure that technology may be used is not consent. Consent must be directed to the use proposed.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consent is refused, or where it cannot be obtained in time, the tool is not used on that brief. That is a complete answer and requires no further inquiry.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member of staff undertaking clerical or administrative work is within clause 9.2, but a clerk or assistant who summarises a brief, drafts from it or analyses it with a tool is not doing clerical or administrative work. Work of that kind requires the same consent as if the barrister had done it, and remains the barrister's responsibility.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Privilege requires separate attention. A barrister may disclose privileged communications only if clearly instructed to do so by the client. Where the terms of a tool operate to waive the client's privilege, or where the use of the tool destroys the confidentiality on which the privilege depends, the barrister may be in breach of the Rules independently of any question of loss to the client. The privilege is the client's to waive and cannot be waived by the barrister's choice of tool.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9.8</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Inputs and outputs are records. They may be obtained by subpoena, by notice from a regulatory authority, or on discovery, in the same way as any other electronic record. Anything entered into a tool should be composed on that assumption.</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10  Restricted information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clause exists because the constraints on the categories below come from court orders, undertakings and statute rather than from this protocol, and because a breach can amount to contempt.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Restricted information is:</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information subject to an order as to confidentiality, suppression or non-publication;</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information obtained from another party or a third person under compulsion in a proceeding, which is subject to the implied undertaking not to use it for a purpose extraneous to that proceeding without the leave of the court;</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material produced on subpoena or under a notice to produce;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(d)</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information subject to a statutory prohibition or restriction on publication or disclosure, including in proceedings concerning children;</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(e)</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privileged information, including privilege belonging to a person other than the client, and any privileged material whose use may put the privilege in issue; and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(f)</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information confidential or private to a person other than the client, where that person's consent has not been obtained.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Restricted information must not be entered into any tool, including an approved tool, unless the barrister responsible for the conduct of the proceeding has first been satisfied of each of the following and has recorded that satisfaction on the brief:</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the information will remain within the controlled environment of the platform being used, and that the platform is the subject of confidentiality restrictions on the supplier ensuring that the data is not made publicly available and is not used to train any large language model;</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the information is to be used only in connection with the proceeding in which it was obtained, unless otherwise required or permitted by law to be disclosed or required to be reviewed by a law enforcement agency; and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the information is not used to train the tool or any model.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matters in clause 10.3 reproduce the conditions imposed by the instrument at Schedule 5 and are to be read with it rather than as a separate standard. Satisfaction is reached by reviewing the contractual terms and the confidentiality settings actually in force, not by accepting the supplier's description of its product, and the barrister must be able to say what establishes each of those matters. A retention period is not of itself publication and is not training. On that construction, which follows from the text of the instrument but has not been the subject of decision, the absence of a zero retention arrangement does not by itself prevent satisfaction, but where none is available the contractual term and the barrister's own record of what was sent carry the weight.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undertaking can still be breached where the material stays within the tool but an output derived from it is later used in a different matter or for a different purpose. An approval under this clause is confined to the proceeding for which it is given and to the purpose recorded.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judgment required by clause 10.3 is the briefed barrister's. It cannot be made by the nominated barrister, by chambers, by an instructing solicitor or by a reader, and it cannot be inferred from the presence of a tool in Schedule 1. The form at Schedule 4 may be used to record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10.7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the barrister cannot be satisfied of each matter in clause 10.3, the material is not to be used with any tool. Difficulty or inconvenience in establishing those matters is a reason not to use the tool, not a reason to proceed.</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11  Verification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barrister who signs, settles, files or delivers a document is responsible for its contents, whether or not a tool was used, and that responsibility is not shared with the tool.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Content produced with the assistance of a tool must be verified with meaningful human control. The barrister is responsible for ensuring that it is current, complete, accurate and applicable to the jurisdiction, and must be alert to bias in the output.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Before AI-assisted work is delivered, filed, served or relied on, the barrister must confirm:</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every case, statute, regulation, rule, practice note, textbook and article cited exists, is accurately identified as to parties, year, court and pinpoint reference, and stands for the proposition attributed to it;</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every extract and quotation is accurate and attributed to the correct source;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every authority cited is relevant to the proceeding and applicable to the jurisdiction and the facts;</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(d)</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the research has been extended to authority against the client's case, and that any binding authority, appellate authority or legislation directly in point against the client's case has been identified for the purposes of the duty of disclosure to the court;</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(e)</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every reference to evidence exists, is or will be in the material before the court, and is reasonably likely to be admissible;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(f)</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any statement about what the evidence establishes is a finding reasonably open on that evidence;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(g)</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any allegation of fact rests on material already available that provides a proper basis for it, and that any allegation of criminality, fraud or serious misconduct meets the additional requirements the Rules impose;</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(h)</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any chronology, index or list of documents is accurate and in the required form; and</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(i)</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that dates, figures, calculations, names and quotations have been checked against the source document, and that the document has been read as a whole and adapted to the case rather than left in the general terms a tool produces.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Clause 11.3(d) is the limb most easily overlooked. A tool asked to support a proposition will return support for it. The duty to inform the court of authority against the client's case is not discharged by a search designed to assist the client, and the barrister must search for the adverse position deliberately.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Verification is carried out against a source known to be accurate. For case law that means an authorised report or a recognised free-access service, for legislation an authorised government site, and for a document in the brief the document itself. Reading the judgment or the section is what discharges the obligation.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It is not verification to ask a tool whether the material it produced exists or says what it claims. One tool cannot be used to confirm the output of another. Tools will confirm that inaccurate information is accurate when asked, and a practitioner who did so and relied on the answer has been the subject of judicial criticism and sanction. Where the tool holds the original source material and displays it, the barrister may verify the content by reading that original source within the tool.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11.7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Verification must not be carried out solely by using a tool. Where the barrister is not able to check the output, or does not have the time to do so, the output is not relied on at all, as a matter of prudence and of the proper discharge of the barrister's responsibilities.</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12  Disclosure to courts and tribunals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Requirements differ between courts. Schedule 5 records what applies where the barrister appears, and must be checked before a document is filed. The requirements below are the barrister's standing position and apply in every jurisdiction, including one in which no instrument is in force. The absence of an instrument does not reduce the duty not to mislead the court.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Written submissions and summaries of argument. Where a tool has been used in the preparation of a written submission, summary or skeleton of argument, the author must verify in the body of the document that all citations, legal and academic authority, case law and legislative references exist, are accurate and are relevant to the proceeding, and must make the same verification in relation to references to evidence, whether in an affidavit or in transcript. The wording at Schedule 3 may be used.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Affidavits, witness statements and character references. In some jurisdictions these must contain a disclosure that generative AI was not used in generating their content, including by altering, embellishing, strengthening, diluting or rephrasing the evidence, and, subject to leave, in generating the content of an annexure or exhibit prepared for the purposes of the evidence. Where the instrument at Schedule 5 imposes that requirement, the disclosure is required whether or not a tool was used, and its absence is a defect in the document. A barrister settling such a document must check that the disclosure is present and correct before it is sworn or affirmed.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Evidentiary material generally. Use of a tool must be disclosed where it has been used to summarise or analyse information on which a witness relies to make a statement of fact or express an opinion, where it has produced an image, video, audio recording or other multimedia placed before the court, or where it has been used in any way that might reasonably be expected to affect the admissibility of the evidence or the use the court makes of it. Disclosure appears in the body of the document at its start and states as concisely as possible where and how the tool was used.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Readiness to answer. The barrister must be in a position to tell the court what tool was used, how it was used and for what purpose, whether or not disclosure was required, and to identify the portions of a document produced with its assistance and explain how the output was verified. A court may direct that this information be provided, and a judge may require an assurance identifying the process of verification followed. The record kept under clause 17 exists for that purpose.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Experts. Where leave is required before a tool may be used in preparing an expert report, that leave must be obtained before the expert begins, and an application for leave must identify the proposed use, the tool and its version, whether it is closed-source or open-source and what privacy or confidentiality settings it has, the benefit expected, and the documents proposed to be submitted to the tool. Where the barrister has a role in instructing or conferring with an expert, the requirements of the relevant instrument must be drawn to the expert's attention, and the expert must be asked whether a tool has been or is proposed to be used.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12.7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the barrister becomes aware that a document filed or served contains inaccurate material generated or affected by a tool, the barrister must take all necessary steps to correct it with the court as soon as possible, and must inform the instructing solicitor and the client. Consequences of non-compliance include adverse costs orders made personally, referral to the professional regulator, and restriction of a practising certificate.</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13  Bias, discrimination and offensive output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13.1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Output may reproduce biased, discriminatory or offensive language present in the material on which the tool was built, including gendered and racist content, and may present outdated interpretations of legal principle as current because older and more frequently replicated material is favoured.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13.2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Output must be reviewed so that language of that kind is not repeated or endorsed in any work produced by, or communication emanating from, the barrister. Language of that kind deployed in a communication with a court, a client, an instructing solicitor or an opponent is capable of contravening the rules concerning discreditable conduct and discrimination, and of exposing the barrister to disciplinary action.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13.3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Particular care is required where a tool is used in relation to evidence given by a vulnerable witness, or in a proceeding concerning sexual assault or an act of indecency, where the Rules constrain the manner and tone of questioning and require the witness's vulnerability to be taken into account. Questions and cross-examination are not to be generated by a tool.</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14  Copyright and ownership</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14.1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sources of text generated by a tool are generally unknown. Care must be taken not to reproduce a substantial part of a third party's work in advice, submissions or other work done under the barrister's name, because use of such a document may involve liability. Litigation has been brought against operators of these tools alleging that the material on which they were built incorporates copyright material without consent.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14.2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defence may be available under the Copyright Act 1968 (Cth) where the relevant act is for the purpose of a judicial proceeding, or for the giving of professional advice by a legal practitioner, provided the use is a fair dealing. That is a defence to be relied on if needed rather than a licence to reproduce.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14.3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Copyright in a literary work requires a human author. Where a substantial part of an advice or a submission is generated directly by a tool rather than drafted by the barrister from information the tool provided, the barrister may not own copyright in it. That is a further reason why the drafting must be the barrister's own.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14.4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work is submitted for publication in a journal or delivered as a paper, the applicable guidelines on plagiarism and attribution of sources apply, and the use of a tool must be disclosed if those guidelines require it.</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15  Fees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tool reduces the time a task takes, and the retainer is time-based, the time charged must reflect the time actually spent.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Time spent verifying output is part of the work and is charged as such, but the use of a tool must not increase the cost to the client above what conventional methods would have cost. Where verification or correction consumes the saving, the tool was not suitable for the task and its use should be reconsidered under clause 6.</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cost of a tool is not charged to a client as a disbursement unless the costs agreement or fee disclosure provides for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15.4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On request, the client or the instructing solicitor is to be told how the use of a tool is reflected in the fees charged.</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16  Recording, transcription and note-taking</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16.1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clause applies to any tool that records, transcribes or summarises a conference, meeting or telephone call, whether it joins as a participant, runs on the device, or processes a recording afterwards. A recorded conference with a client or a witness is among the most sensitive material a barrister holds.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16.2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Only a tool recorded in Part C of Schedule 8 may be used. A tool that joins a conference, begins recording or circulates a transcript without a positive act by the user must not be installed on a device used in practice.</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16.3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Recording must not begin until every participant has been told that the conference is being recorded and transcribed by a tool, and has agreed. Agreement is obtained on the record at the start and noted on the brief. The wording at Schedule 3 may be used. The law of the relevant State or Territory constrains both the recording of a private conversation and its distribution, and the constraints differ between jurisdictions, so the applicable position must be identified before recording and the strictest applicable position governs where participants are in different States.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16.4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Recording, transcription and note-taking by any means, including an application running on a laptop or telephone connected to a hearing, is prohibited in a courtroom or court precinct and in any remote hearing. Leave of the court is required and is not to be assumed from the fact that a hearing is conducted remotely. Unauthorised recording in court premises is an offence, and the rules of the relevant court restrict transmission and distribution.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16.5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transcript produced by a tool is not evidence of what was said. It is a working record, it contains errors, and it must not be provided to a client, an instructing solicitor, an opponent or a court as a record of the conference without being checked against the audio by the person who was present.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16.6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conference concerns restricted information, clause 10 applies to the recording and to the transcript, and an approval under clause 10.3 is required before either is provided to any tool.</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17  Records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17.1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Where a tool has been used on a brief, the barrister keeps a record on the brief of the prompts used, the choices made, the output obtained, what use was made of it, and how it was verified and against what source. The form at Schedule 2 may be used.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17.2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record must be sufficient to allow the barrister to identify the portions of any document produced with the assistance of a tool and to explain how each was verified, because a court may require exactly that. It must also record the tool and its version, the date, and the person who used it, including where that person was a reader or a devilling barrister.</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17.3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record of the terms of service, and of the express decision to use the tool, is kept with the register at Schedule 1 and is dated, because the terms change and the terms accepted at the time of use may not be those recorded when the tool was assessed.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17.4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record required by this clause is the record kept on the brief. A session history held by the tool, and any operational log, are not a substitute for it, are retained for shorter periods, and may not record content at all.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17.5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Records under this clause are retained for the same period as the brief. They may be subject to a subpoena directed to the barrister, to a notice from a regulatory authority, and to production in a fee dispute or a complaint, and are to be prepared on that basis.</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18  Readers, devils and staff</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18.1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reader or a devilling barrister must be told, before being shown a brief, whether a tool may be used on it, on what terms, and whether the brief contains restricted information. The default is that a tool may not be used unless the briefed barrister says so.</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18.2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reader or devilling barrister who has used a tool must tell the briefed barrister, identify what it was used for and what it produced, and provide the record required by clause 17. Devilled work is delivered under the briefed barrister's name, so the briefed barrister must satisfy clause 5.1 personally.</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18.3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clerk, secretary or assistant may use an approved tool for clerical and administrative work. Summarising, drafting from or analysing brief material is not clerical or administrative work, and requires the barrister's express direction and the consent required by clause 9.</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18.4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No person may use an approved tool on brief material until they have read this protocol and acknowledged it. The acknowledgment at Schedule 11 may be used.</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19  Chambers arrangements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19.1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Chambers is not a practice. It cannot hold a brief, cannot supervise a barrister's practice, and cannot discharge any obligation under this protocol on a barrister's behalf. The arrangements in this clause and at Schedule 9 exist because certain risks arise from shared facilities and can only be managed at floor level.</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19.2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members appoint [a member or the clerk] as nominated barrister to maintain the shared registers, to record the assessment of any shared tool, and to bring a change in a supplier's terms to the members' attention. The appointment carries no supervisory function.</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19.3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principal risk from a shared tool is not confidentiality in the abstract but disqualification. Members of the same chambers routinely appear against one another, which is proper and long established. A tool that pools members' brief material, retains a shared history, builds a shared index or memory, or allows one member to retrieve what another has entered, is capable of putting a member in possession of information confidential to another person in a case. Where that information may as a real possibility be material and the person entitled to the confidentiality has not consented, the Rules require the member to refuse or return the brief.</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19.4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It follows that a shared tool must be configured so that each member's material is separated from every other member's, in storage, in retrieval, in any memory or personalisation feature, and in any administrative or analytics view. A tool that cannot be configured that way is not to be adopted for brief material, whatever its other merits. Where a shared administrative view of usage is available, it must not expose the content of any member's prompts or documents.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19.5</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Shared infrastructure is addressed on the same principle. Chambers document stores, scanners, printers, backup systems and network drives must not be configured so that brief material is indexed by any tool available to other members.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19.6</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Adoption of a tool by chambers does not oblige any member to use it, does not constitute the assessment required by clause 7.4, and does not constitute the satisfaction required by clause 10.3. Each remains the responsibility of the member who uses the tool on a brief.</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19.7</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clerk who arranges briefs across members occupies a position of particular sensitivity. A clerk must not enter the content of any brief into a tool, and any tool used for listing, scheduling or fee administration must be assessed on the footing that it will hold information about who is briefed in what.</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20  Incidents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20.1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barrister must act immediately, and in any event on the same day, on becoming aware of any of the following:</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(a)</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confidential information entered into a public tool;</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(b)</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restricted information used without an approval under clause 10;</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(c)</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use of a tool not recorded in Schedule 1 on a brief;</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(d)</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inaccurate or fabricated material delivered to a client or an instructing solicitor, or filed, served or relied on in a court;</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(e)</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suspected security incident affecting an approved tool, or the possibility that a shared tool has exposed one member's material to another; or</w:t>
      </w:r>
    </w:p>
    <w:p>
      <w:pPr>
        <w:tabs>
          <w:tab w:val="left" w:pos="1180"/>
        </w:tabs>
        <w:spacing w:after="120" w:line="240"/>
        <w:ind w:left="1180" w:hanging="500"/>
        <w:jc w:val="both"/>
      </w:pPr>
      <w:r>
        <w:rPr>
          <w:rFonts w:ascii="Calibri" w:cs="Calibri" w:eastAsia="Calibri" w:hAnsi="Calibri"/>
          <w:b w:val="false"/>
          <w:bCs w:val="false"/>
          <w:i w:val="false"/>
          <w:iCs w:val="false"/>
          <w:sz w:val="21"/>
          <w:szCs w:val="21"/>
        </w:rPr>
        <w:t xml:space="preserve">(f)</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any use of a tool that may breach this protocol, whether by the barrister, a reader, a devilling barrister or a member of staff.</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20.2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On becoming aware of an incident the barrister must consider, and record the consideration of, whether the incident requires a correction to the court, disclosure to the client and the instructing solicitor, the return of a brief, notification to the professional indemnity insurer, notification to the Bar Association, and in the case of a shared tool, notification to the other members affected.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20.3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presumption is that the client and the instructing solicitor are told. A decision not to tell them is recorded with the reasons for it. A correction to the court is not a matter of discretion where the duty to correct a misleading statement is engaged.</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20.4</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Notification to the insurer is governed by the policy of insurance, and where an incident may give rise to a claim the requirements of that policy are attended to before any communication about liability.</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21  Compliance and consequences</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21.1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failure to comply with this protocol is capable of constituting a breach of the Rules, which may give rise to a complaint and to disciplinary action. The published guidance of the Bar Association may be considered in relation to any such complaint.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21.2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A failure may also expose the barrister to a costs order made personally, to a referral to the professional regulator, and to a finding of unsatisfactory professional conduct or professional misconduct.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21.3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barrister reviews compliance with this protocol at least annually, together with the registers at Schedules 1 and 8.</w:t>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22  Review</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22.1</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This protocol is reviewed at least annually, and on any amendment to the Rules, to the instruments at Schedule 5 or to the guidance of the Bar Association, on any material change to the terms of a tool in use, and on any incident under clause 20 that indicates a deficiency in it.</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22.2</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field changes quickly and developments will occur that this protocol does not address. The barrister remains responsible for ensuring that any tool used is appropriate for that use and that the Rules are adhered to at all times, whether or not this protocol has caught up.</w:t>
      </w:r>
    </w:p>
    <w:p>
      <w:pPr>
        <w:tabs>
          <w:tab w:val="left" w:pos="740"/>
        </w:tabs>
        <w:spacing w:after="160" w:line="252"/>
        <w:ind w:left="740" w:hanging="740"/>
        <w:jc w:val="both"/>
      </w:pPr>
      <w:r>
        <w:rPr>
          <w:rFonts w:ascii="Calibri" w:cs="Calibri" w:eastAsia="Calibri" w:hAnsi="Calibri"/>
          <w:b w:val="false"/>
          <w:bCs w:val="false"/>
          <w:i w:val="false"/>
          <w:iCs w:val="false"/>
          <w:sz w:val="21"/>
          <w:szCs w:val="21"/>
        </w:rPr>
        <w:t xml:space="preserve">22.3</w:t>
      </w:r>
      <w:r>
        <w:rPr>
          <w:rFonts w:ascii="Calibri" w:cs="Calibri" w:eastAsia="Calibri" w:hAnsi="Calibri"/>
          <w:sz w:val="21"/>
          <w:szCs w:val="21"/>
        </w:rPr>
        <w:t xml:space="preserve">	</w:t>
      </w:r>
      <w:r>
        <w:rPr>
          <w:rFonts w:ascii="Calibri" w:cs="Calibri" w:eastAsia="Calibri" w:hAnsi="Calibri"/>
          <w:b w:val="false"/>
          <w:bCs w:val="false"/>
          <w:i w:val="false"/>
          <w:iCs w:val="false"/>
          <w:sz w:val="21"/>
          <w:szCs w:val="21"/>
        </w:rPr>
        <w:t xml:space="preserve">The version history is recorded in the document control table at the front of this protocol.</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1  Register of tools</w:t>
      </w:r>
    </w:p>
    <w:p>
      <w:pPr>
        <w:spacing w:after="200" w:line="240"/>
        <w:ind w:left="340" w:right="340"/>
        <w:jc w:val="both"/>
      </w:pPr>
      <w:r>
        <w:rPr>
          <w:rFonts w:ascii="Calibri" w:cs="Calibri" w:eastAsia="Calibri" w:hAnsi="Calibri"/>
          <w:b w:val="false"/>
          <w:bCs w:val="false"/>
          <w:i/>
          <w:iCs/>
          <w:color w:val="595959"/>
          <w:sz w:val="19"/>
          <w:szCs w:val="19"/>
        </w:rPr>
        <w:t xml:space="preserve">No tool is approved until it appears here. The matters at clause 7.4 are recorded in full in the underlying assessment, which is kept with this register together with the terms of service and the dated decision to use.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1750"/>
        <w:gridCol w:w="1500"/>
        <w:gridCol w:w="1200"/>
        <w:gridCol w:w="1400"/>
      </w:tblGrid>
      <w:tr>
        <w:trPr>
          <w:tblHeader/>
          <w:cantSplit/>
        </w:trPr>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Tool and version</w:t>
            </w:r>
          </w:p>
        </w:tc>
        <w:tc>
          <w:tcPr>
            <w:tcW w:type="dxa" w:w="14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Account</w:t>
            </w:r>
          </w:p>
        </w:tc>
        <w:tc>
          <w:tcPr>
            <w:tcW w:type="dxa" w:w="17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Permitted uses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Data location</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Retention and training</w:t>
            </w:r>
          </w:p>
        </w:tc>
        <w:tc>
          <w:tcPr>
            <w:tcW w:type="dxa" w:w="14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Assessed / review</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[Tool name]</w:t>
            </w:r>
          </w:p>
          <w:p>
            <w:pPr>
              <w:spacing w:after="0" w:line="240"/>
            </w:pPr>
            <w:r>
              <w:rPr>
                <w:rFonts w:ascii="Calibri" w:cs="Calibri" w:eastAsia="Calibri" w:hAnsi="Calibri"/>
                <w:b w:val="false"/>
                <w:bCs w:val="false"/>
                <w:i w:val="false"/>
                <w:iCs w:val="false"/>
                <w:sz w:val="19"/>
                <w:szCs w:val="19"/>
              </w:rPr>
              <w:t xml:space="preserve">[version or plan]</w:t>
            </w:r>
          </w:p>
        </w:tc>
        <w:tc>
          <w:tcPr>
            <w:tcW w:type="dxa" w:w="1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[Account in the</w:t>
            </w:r>
          </w:p>
          <w:p>
            <w:pPr>
              <w:spacing w:after="0" w:line="240"/>
            </w:pPr>
            <w:r>
              <w:rPr>
                <w:rFonts w:ascii="Calibri" w:cs="Calibri" w:eastAsia="Calibri" w:hAnsi="Calibri"/>
                <w:b w:val="false"/>
                <w:bCs w:val="false"/>
                <w:i w:val="false"/>
                <w:iCs w:val="false"/>
                <w:sz w:val="19"/>
                <w:szCs w:val="19"/>
              </w:rPr>
              <w:t xml:space="preserve">barrister's name]</w:t>
            </w:r>
          </w:p>
          <w:p>
            <w:pPr>
              <w:spacing w:after="0" w:line="240"/>
            </w:pPr>
            <w:r>
              <w:rPr>
                <w:rFonts w:ascii="Calibri" w:cs="Calibri" w:eastAsia="Calibri" w:hAnsi="Calibri"/>
                <w:b w:val="false"/>
                <w:bCs w:val="false"/>
                <w:i w:val="false"/>
                <w:iCs w:val="false"/>
                <w:sz w:val="19"/>
                <w:szCs w:val="19"/>
              </w:rPr>
              <w:t xml:space="preserve">[not a personal or</w:t>
            </w:r>
          </w:p>
          <w:p>
            <w:pPr>
              <w:spacing w:after="0" w:line="240"/>
            </w:pPr>
            <w:r>
              <w:rPr>
                <w:rFonts w:ascii="Calibri" w:cs="Calibri" w:eastAsia="Calibri" w:hAnsi="Calibri"/>
                <w:b w:val="false"/>
                <w:bCs w:val="false"/>
                <w:i w:val="false"/>
                <w:iCs w:val="false"/>
                <w:sz w:val="19"/>
                <w:szCs w:val="19"/>
              </w:rPr>
              <w:t xml:space="preserve">free account]</w:t>
            </w:r>
          </w:p>
        </w:tc>
        <w:tc>
          <w:tcPr>
            <w:tcW w:type="dxa" w:w="17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[Research, summarising, first drafts]</w:t>
            </w:r>
          </w:p>
          <w:p>
            <w:pPr>
              <w:spacing w:after="0" w:line="240"/>
            </w:pPr>
            <w:r>
              <w:rPr>
                <w:rFonts w:ascii="Calibri" w:cs="Calibri" w:eastAsia="Calibri" w:hAnsi="Calibri"/>
                <w:b w:val="false"/>
                <w:bCs w:val="false"/>
                <w:i w:val="false"/>
                <w:iCs w:val="false"/>
                <w:sz w:val="19"/>
                <w:szCs w:val="19"/>
              </w:rPr>
              <w:t xml:space="preserve">[Not approved for restricted information]</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[Country]</w:t>
            </w:r>
          </w:p>
          <w:p>
            <w:pPr>
              <w:spacing w:after="0" w:line="240"/>
            </w:pPr>
            <w:r>
              <w:rPr>
                <w:rFonts w:ascii="Calibri" w:cs="Calibri" w:eastAsia="Calibri" w:hAnsi="Calibri"/>
                <w:b w:val="false"/>
                <w:bCs w:val="false"/>
                <w:i w:val="false"/>
                <w:iCs w:val="false"/>
                <w:sz w:val="19"/>
                <w:szCs w:val="19"/>
              </w:rPr>
              <w:t xml:space="preserve">[basis recorded]</w:t>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[Period]</w:t>
            </w:r>
          </w:p>
          <w:p>
            <w:pPr>
              <w:spacing w:after="0" w:line="240"/>
            </w:pPr>
            <w:r>
              <w:rPr>
                <w:rFonts w:ascii="Calibri" w:cs="Calibri" w:eastAsia="Calibri" w:hAnsi="Calibri"/>
                <w:b w:val="false"/>
                <w:bCs w:val="false"/>
                <w:i w:val="false"/>
                <w:iCs w:val="false"/>
                <w:sz w:val="19"/>
                <w:szCs w:val="19"/>
              </w:rPr>
              <w:t xml:space="preserve">[training off, by</w:t>
            </w:r>
          </w:p>
          <w:p>
            <w:pPr>
              <w:spacing w:after="0" w:line="240"/>
            </w:pPr>
            <w:r>
              <w:rPr>
                <w:rFonts w:ascii="Calibri" w:cs="Calibri" w:eastAsia="Calibri" w:hAnsi="Calibri"/>
                <w:b w:val="false"/>
                <w:bCs w:val="false"/>
                <w:i w:val="false"/>
                <w:iCs w:val="false"/>
                <w:sz w:val="19"/>
                <w:szCs w:val="19"/>
              </w:rPr>
              <w:t xml:space="preserve">contract]</w:t>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w:t>
            </w:r>
          </w:p>
          <w:p>
            <w:pPr>
              <w:spacing w:after="0" w:line="240"/>
            </w:pPr>
            <w:r>
              <w:rPr>
                <w:rFonts w:ascii="Calibri" w:cs="Calibri" w:eastAsia="Calibri" w:hAnsi="Calibri"/>
                <w:b w:val="false"/>
                <w:bCs w:val="false"/>
                <w:i w:val="false"/>
                <w:iCs w:val="false"/>
                <w:sz w:val="19"/>
                <w:szCs w:val="19"/>
              </w:rPr>
              <w:t xml:space="preserve">[Terms of service</w:t>
            </w:r>
          </w:p>
          <w:p>
            <w:pPr>
              <w:spacing w:after="0" w:line="240"/>
            </w:pPr>
            <w:r>
              <w:rPr>
                <w:rFonts w:ascii="Calibri" w:cs="Calibri" w:eastAsia="Calibri" w:hAnsi="Calibri"/>
                <w:b w:val="false"/>
                <w:bCs w:val="false"/>
                <w:i w:val="false"/>
                <w:iCs w:val="false"/>
                <w:sz w:val="19"/>
                <w:szCs w:val="19"/>
              </w:rPr>
              <w:t xml:space="preserve">recorded]</w:t>
            </w:r>
          </w:p>
          <w:p>
            <w:pPr>
              <w:spacing w:after="0" w:line="240"/>
            </w:pPr>
            <w:r>
              <w:rPr>
                <w:rFonts w:ascii="Calibri" w:cs="Calibri" w:eastAsia="Calibri" w:hAnsi="Calibri"/>
                <w:b w:val="false"/>
                <w:bCs w:val="false"/>
                <w:i w:val="false"/>
                <w:iCs w:val="false"/>
                <w:sz w:val="19"/>
                <w:szCs w:val="19"/>
              </w:rPr>
              <w:t xml:space="preserve">[Review date]</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7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7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bl>
    <w:p>
      <w:pPr>
        <w:spacing w:after="200"/>
      </w:pPr>
      <w:r>
        <w:rPr>
          <w:rFonts w:ascii="Calibri" w:cs="Calibri" w:eastAsia="Calibri" w:hAnsi="Calibri"/>
          <w:b w:val="false"/>
          <w:bCs w:val="false"/>
          <w:i w:val="false"/>
          <w:iCs w:val="false"/>
          <w:sz w:val="21"/>
          <w:szCs w:val="21"/>
        </w:rPr>
        <w:t xml:space="preserve"/>
      </w:r>
    </w:p>
    <w:p>
      <w:pPr>
        <w:spacing w:after="160" w:line="240"/>
        <w:ind w:left="680"/>
        <w:jc w:val="both"/>
      </w:pPr>
      <w:r>
        <w:rPr>
          <w:rFonts w:ascii="Calibri" w:cs="Calibri" w:eastAsia="Calibri" w:hAnsi="Calibri"/>
          <w:b w:val="false"/>
          <w:bCs w:val="false"/>
          <w:i w:val="false"/>
          <w:iCs w:val="false"/>
          <w:sz w:val="21"/>
          <w:szCs w:val="21"/>
        </w:rPr>
        <w:t xml:space="preserve">A tool may be recorded as not approved for use with restricted information under clause 10 while remaining approved for other purposes. Where that is the case it must be stated in the permitted uses column.</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2  AI use record</w:t>
      </w:r>
    </w:p>
    <w:p>
      <w:pPr>
        <w:spacing w:after="200" w:line="240"/>
        <w:ind w:left="340" w:right="340"/>
        <w:jc w:val="both"/>
      </w:pPr>
      <w:r>
        <w:rPr>
          <w:rFonts w:ascii="Calibri" w:cs="Calibri" w:eastAsia="Calibri" w:hAnsi="Calibri"/>
          <w:b w:val="false"/>
          <w:bCs w:val="false"/>
          <w:i/>
          <w:iCs/>
          <w:color w:val="595959"/>
          <w:sz w:val="19"/>
          <w:szCs w:val="19"/>
        </w:rPr>
        <w:t xml:space="preserve">To be completed and kept on the brief where clause 17.1 applies.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Item</w:t>
            </w:r>
          </w:p>
        </w:tc>
        <w:tc>
          <w:tcPr>
            <w:tcW w:type="dxa" w:w="6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Detail</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Brief, case and proceeding number</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Instructing solicitor, or direct access</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Consent under clause 9, date and terms</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 of use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Person who used the tool</w:t>
            </w:r>
          </w:p>
          <w:p>
            <w:pPr>
              <w:spacing w:after="0" w:line="240"/>
            </w:pPr>
            <w:r>
              <w:rPr>
                <w:rFonts w:ascii="Calibri" w:cs="Calibri" w:eastAsia="Calibri" w:hAnsi="Calibri"/>
                <w:b w:val="false"/>
                <w:bCs w:val="false"/>
                <w:i w:val="false"/>
                <w:iCs w:val="false"/>
                <w:sz w:val="19"/>
                <w:szCs w:val="19"/>
              </w:rPr>
              <w:t xml:space="preserve">(barrister, reader, devil, staff)</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Tool and version</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Purpose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Prompts used, and choices made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Material provided to the tool</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Output obtained, and use made of it</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Specific portions of any document</w:t>
            </w:r>
          </w:p>
          <w:p>
            <w:pPr>
              <w:spacing w:after="0" w:line="240"/>
            </w:pPr>
            <w:r>
              <w:rPr>
                <w:rFonts w:ascii="Calibri" w:cs="Calibri" w:eastAsia="Calibri" w:hAnsi="Calibri"/>
                <w:b w:val="false"/>
                <w:bCs w:val="false"/>
                <w:i w:val="false"/>
                <w:iCs w:val="false"/>
                <w:sz w:val="19"/>
                <w:szCs w:val="19"/>
              </w:rPr>
              <w:t xml:space="preserve">produced with assistance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Verified by, and against what source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Adverse authority search carried out</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 of verification</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Disclosure made to the court, if any</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Clause 10 approval reference, if any</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bl>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3  Standard wordings</w:t>
      </w:r>
    </w:p>
    <w:p>
      <w:pPr>
        <w:spacing w:after="200" w:line="240"/>
        <w:ind w:left="340" w:right="340"/>
        <w:jc w:val="both"/>
      </w:pPr>
      <w:r>
        <w:rPr>
          <w:rFonts w:ascii="Calibri" w:cs="Calibri" w:eastAsia="Calibri" w:hAnsi="Calibri"/>
          <w:b w:val="false"/>
          <w:bCs w:val="false"/>
          <w:i/>
          <w:iCs/>
          <w:color w:val="595959"/>
          <w:sz w:val="19"/>
          <w:szCs w:val="19"/>
        </w:rPr>
        <w:t xml:space="preserve">Check each against the instrument that applies in the relevant court before use.</w:t>
      </w:r>
    </w:p>
    <w:p>
      <w:pPr>
        <w:pStyle w:val="Heading2"/>
        <w:spacing w:after="100" w:before="240"/>
      </w:pPr>
      <w:r>
        <w:rPr>
          <w:rFonts w:ascii="Calibri" w:cs="Calibri" w:eastAsia="Calibri" w:hAnsi="Calibri"/>
          <w:b/>
          <w:bCs/>
          <w:i w:val="false"/>
          <w:iCs w:val="false"/>
          <w:color w:val="000000"/>
          <w:sz w:val="21"/>
          <w:szCs w:val="21"/>
        </w:rPr>
        <w:t xml:space="preserve">Written submissions</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The preparation of these submissions involved the use of a generative artificial intelligence tool. All citations, legal and academic authority, case law and legislative references in these submissions exist, are accurate and are relevant to these proceedings. All references to evidence, whether contained in affidavits or transcript, have been verified to the same standard. That verification was not carried out by a generative artificial intelligence tool.</w:t>
      </w:r>
    </w:p>
    <w:p>
      <w:pPr>
        <w:pStyle w:val="Heading2"/>
        <w:spacing w:after="100" w:before="240"/>
      </w:pPr>
      <w:r>
        <w:rPr>
          <w:rFonts w:ascii="Calibri" w:cs="Calibri" w:eastAsia="Calibri" w:hAnsi="Calibri"/>
          <w:b/>
          <w:bCs/>
          <w:i w:val="false"/>
          <w:iCs w:val="false"/>
          <w:color w:val="000000"/>
          <w:sz w:val="21"/>
          <w:szCs w:val="21"/>
        </w:rPr>
        <w:t xml:space="preserve">Request to the instructing solicitor for the client's consent</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I propose to use [tool and version] in preparing [the advice / the submissions] in this matter, for [research / summarising the documents at tabs X to Y / preparing a first draft]. The tool is a closed system. Its supplier is contractually bound not to use material entered into it to train any model and not to make that material publicly available, and the data is processed in [location]. The tool can produce material that is inaccurate or fabricated, and everything it produces will be verified by me against the primary sources before it is used. Because the confidentiality rules that bind barristers do not treat a technology supplier in the same way as they treat you, a reader or my staff, I need your client's consent before I use it on this brief. Please confirm whether that consent is given, and on what terms. If it is not given, I will not use the tool on this matter and it will make no difference to how the work is done.</w:t>
      </w:r>
    </w:p>
    <w:p>
      <w:pPr>
        <w:pStyle w:val="Heading2"/>
        <w:spacing w:after="100" w:before="240"/>
      </w:pPr>
      <w:r>
        <w:rPr>
          <w:rFonts w:ascii="Calibri" w:cs="Calibri" w:eastAsia="Calibri" w:hAnsi="Calibri"/>
          <w:b/>
          <w:bCs/>
          <w:i w:val="false"/>
          <w:iCs w:val="false"/>
          <w:color w:val="000000"/>
          <w:sz w:val="21"/>
          <w:szCs w:val="21"/>
        </w:rPr>
        <w:t xml:space="preserve">Affidavit, witness statement or character reference</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Generative artificial intelligence was not used in generating the content of this affidavit, including by altering, embellishing, strengthening, diluting or rephrasing my evidence.</w:t>
      </w:r>
    </w:p>
    <w:p>
      <w:pPr>
        <w:pStyle w:val="Heading2"/>
        <w:spacing w:after="100" w:before="240"/>
      </w:pPr>
      <w:r>
        <w:rPr>
          <w:rFonts w:ascii="Calibri" w:cs="Calibri" w:eastAsia="Calibri" w:hAnsi="Calibri"/>
          <w:b/>
          <w:bCs/>
          <w:i w:val="false"/>
          <w:iCs w:val="false"/>
          <w:color w:val="000000"/>
          <w:sz w:val="21"/>
          <w:szCs w:val="21"/>
        </w:rPr>
        <w:t xml:space="preserve">Disclosure of use in evidentiary material</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Generative artificial intelligence was used in the preparation of this document as follows. [Tool and version] was used to [summarise the documents listed at paragraph X / analyse the data at annexure Y]. The output appears at [paragraphs / annexure]. It was reviewed and verified by [name] against the source documents. No other use was made of generative artificial intelligence in the preparation of this document.</w:t>
      </w:r>
    </w:p>
    <w:p>
      <w:pPr>
        <w:pStyle w:val="Heading2"/>
        <w:spacing w:after="100" w:before="240"/>
      </w:pPr>
      <w:r>
        <w:rPr>
          <w:rFonts w:ascii="Calibri" w:cs="Calibri" w:eastAsia="Calibri" w:hAnsi="Calibri"/>
          <w:b/>
          <w:bCs/>
          <w:i w:val="false"/>
          <w:iCs w:val="false"/>
          <w:color w:val="000000"/>
          <w:sz w:val="21"/>
          <w:szCs w:val="21"/>
        </w:rPr>
        <w:t xml:space="preserve">Response to a direction to identify portions and verification</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The portions of [document] produced with the assistance of a generative artificial intelligence tool are [identify precisely]. The tool used was [name and version], accessed through [account]. Verification was carried out by me on [date] by reading each authority in [authorised reports] and each legislative provision on [authorised site], and by checking each reference to evidence against the affidavit or transcript in which it appears. No part of that verification was carried out using a generative artificial intelligence tool.</w:t>
      </w:r>
    </w:p>
    <w:p>
      <w:pPr>
        <w:pStyle w:val="Heading2"/>
        <w:spacing w:after="100" w:before="240"/>
      </w:pPr>
      <w:r>
        <w:rPr>
          <w:rFonts w:ascii="Calibri" w:cs="Calibri" w:eastAsia="Calibri" w:hAnsi="Calibri"/>
          <w:b/>
          <w:bCs/>
          <w:i w:val="false"/>
          <w:iCs w:val="false"/>
          <w:color w:val="000000"/>
          <w:sz w:val="21"/>
          <w:szCs w:val="21"/>
        </w:rPr>
        <w:t xml:space="preserve">Instruction to a reader or devilling barrister</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In relation to this task: [a generative artificial intelligence tool may not be used at all / only the tool recorded at item X of my register may be used, and only for research and summarising]. This brief [does / does not] contain material subject to a suppression order, produced on subpoena or otherwise restricted. If you use a tool, tell me what you used, what you used it for, what it produced and how you verified it, before you deliver the work. The work will be delivered under my name and I am personally responsible for it.</w:t>
      </w:r>
    </w:p>
    <w:p>
      <w:pPr>
        <w:pStyle w:val="Heading2"/>
        <w:spacing w:after="100" w:before="240"/>
      </w:pPr>
      <w:r>
        <w:rPr>
          <w:rFonts w:ascii="Calibri" w:cs="Calibri" w:eastAsia="Calibri" w:hAnsi="Calibri"/>
          <w:b/>
          <w:bCs/>
          <w:i w:val="false"/>
          <w:iCs w:val="false"/>
          <w:color w:val="000000"/>
          <w:sz w:val="21"/>
          <w:szCs w:val="21"/>
        </w:rPr>
        <w:t xml:space="preserve">Consent to recording a conference</w:t>
      </w:r>
    </w:p>
    <w:p>
      <w:pPr>
        <w:pBdr>
          <w:left w:val="single" w:color="404040" w:sz="12" w:space="12"/>
        </w:pBdr>
        <w:spacing w:after="200" w:before="80" w:line="240"/>
        <w:ind w:left="680" w:right="340"/>
        <w:jc w:val="both"/>
      </w:pPr>
      <w:r>
        <w:rPr>
          <w:rFonts w:ascii="Calibri" w:cs="Calibri" w:eastAsia="Calibri" w:hAnsi="Calibri"/>
          <w:b w:val="false"/>
          <w:bCs w:val="false"/>
          <w:i w:val="false"/>
          <w:iCs w:val="false"/>
          <w:sz w:val="21"/>
          <w:szCs w:val="21"/>
        </w:rPr>
        <w:t xml:space="preserve">Before we start, I want to let you know that I am using a tool that records and transcribes this conference so that I have an accurate note of it. The recording and the transcript go on the brief and are treated as confidential in the same way as everything else on it. Are you content for me to record on that basis? [Record the answer.] Thank you. I am starting the recording now.</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4  Restricted information approval</w:t>
      </w:r>
    </w:p>
    <w:p>
      <w:pPr>
        <w:spacing w:after="200" w:line="240"/>
        <w:ind w:left="340" w:right="340"/>
        <w:jc w:val="both"/>
      </w:pPr>
      <w:r>
        <w:rPr>
          <w:rFonts w:ascii="Calibri" w:cs="Calibri" w:eastAsia="Calibri" w:hAnsi="Calibri"/>
          <w:b w:val="false"/>
          <w:bCs w:val="false"/>
          <w:i/>
          <w:iCs/>
          <w:color w:val="595959"/>
          <w:sz w:val="19"/>
          <w:szCs w:val="19"/>
        </w:rPr>
        <w:t xml:space="preserve">To be completed by the briefed barrister before restricted information is used with any tool, and kept on the brief. It cannot be completed by anyone else.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Item</w:t>
            </w:r>
          </w:p>
        </w:tc>
        <w:tc>
          <w:tcPr>
            <w:tcW w:type="dxa" w:w="6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Detail</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Matter and proceeding number</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Category of restricted information</w:t>
            </w:r>
          </w:p>
          <w:p>
            <w:pPr>
              <w:spacing w:after="0" w:line="240"/>
            </w:pPr>
            <w:r>
              <w:rPr>
                <w:rFonts w:ascii="Calibri" w:cs="Calibri" w:eastAsia="Calibri" w:hAnsi="Calibri"/>
                <w:b w:val="false"/>
                <w:bCs w:val="false"/>
                <w:i w:val="false"/>
                <w:iCs w:val="false"/>
                <w:sz w:val="19"/>
                <w:szCs w:val="19"/>
              </w:rPr>
              <w:t xml:space="preserve">(clause 10.2(a) to (f))</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Description of the material</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Tool and version proposed</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Purpose, confined to this proceeding</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Basis for satisfaction: information remains in the controlled</w:t>
            </w:r>
          </w:p>
          <w:p>
            <w:pPr>
              <w:spacing w:after="0" w:line="240"/>
            </w:pPr>
            <w:r>
              <w:rPr>
                <w:rFonts w:ascii="Calibri" w:cs="Calibri" w:eastAsia="Calibri" w:hAnsi="Calibri"/>
                <w:b w:val="false"/>
                <w:bCs w:val="false"/>
                <w:i w:val="false"/>
                <w:iCs w:val="false"/>
                <w:sz w:val="19"/>
                <w:szCs w:val="19"/>
              </w:rPr>
              <w:t xml:space="preserve">environment, and the supplier is bound by confidentiality restrictions</w:t>
            </w:r>
          </w:p>
          <w:p>
            <w:pPr>
              <w:spacing w:after="0" w:line="240"/>
            </w:pPr>
            <w:r>
              <w:rPr>
                <w:rFonts w:ascii="Calibri" w:cs="Calibri" w:eastAsia="Calibri" w:hAnsi="Calibri"/>
                <w:b w:val="false"/>
                <w:bCs w:val="false"/>
                <w:i w:val="false"/>
                <w:iCs w:val="false"/>
                <w:sz w:val="19"/>
                <w:szCs w:val="19"/>
              </w:rPr>
              <w:t xml:space="preserve">so the data is neither made public nor used to train any model</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Basis for satisfaction: use confined to this proceeding</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Basis for satisfaction: not used to train the tool or any model</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Consent under clause 9 recorded, and its terms</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Briefed barrister and date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bl>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5  Instruments and guidance</w:t>
      </w:r>
    </w:p>
    <w:p>
      <w:pPr>
        <w:spacing w:after="200" w:line="240"/>
        <w:ind w:left="340" w:right="340"/>
        <w:jc w:val="both"/>
      </w:pPr>
      <w:r>
        <w:rPr>
          <w:rFonts w:ascii="Calibri" w:cs="Calibri" w:eastAsia="Calibri" w:hAnsi="Calibri"/>
          <w:b w:val="false"/>
          <w:bCs w:val="false"/>
          <w:i/>
          <w:iCs/>
          <w:color w:val="595959"/>
          <w:sz w:val="19"/>
          <w:szCs w:val="19"/>
        </w:rPr>
        <w:t xml:space="preserve">To be completed with the instruments in force in each jurisdiction in which the barrister appears, and checked at each review. The entries below were current when this template was prepared and must be verified before adoption. A practice note binds the barrister directly and is not mediated by the instructing solicitor.</w:t>
      </w:r>
    </w:p>
    <w:p>
      <w:pPr>
        <w:spacing w:after="200" w:line="240"/>
        <w:ind w:left="340" w:right="340"/>
        <w:jc w:val="both"/>
      </w:pPr>
      <w:r>
        <w:rPr>
          <w:rFonts w:ascii="Calibri" w:cs="Calibri" w:eastAsia="Calibri" w:hAnsi="Calibri"/>
          <w:b w:val="0"/>
          <w:bCs w:val="false"/>
          <w:i w:val="0"/>
          <w:iCs/>
          <w:color w:val="595959"/>
          <w:sz w:val="19"/>
          <w:szCs w:val="19"/>
        </w:rPr>
        <w:t>An instrument is only as current as the date it was last checked. Each row carries that date and the person who checked it, and a row without one is to be treated as unverified. These instruments are amended, and several already have been, so a paragraph number relied on elsewhere may move.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200"/>
        <w:gridCol w:w="1900"/>
      </w:tblGrid>
      <w:tr>
        <w:trPr>
          <w:tblHeade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Court or body</w:t>
            </w:r>
          </w:p>
        </w:tc>
        <w:tc>
          <w:tcPr>
            <w:tcW w:type="dxa" w:w="4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Instrument</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Date</w:t>
            </w:r>
          </w:p>
        </w:tc>
        <w:tc>
          <w:tcPr>
            <w:tcW w:type="dxa" w:w="1900"/>
          </w:tcPr>
          <w:p>
            <w:r>
              <w:t>Source, and date last checked</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Supreme Court of</w:t>
            </w:r>
          </w:p>
          <w:p>
            <w:pPr>
              <w:spacing w:after="0" w:line="240"/>
            </w:pPr>
            <w:r>
              <w:rPr>
                <w:rFonts w:ascii="Calibri" w:cs="Calibri" w:eastAsia="Calibri" w:hAnsi="Calibri"/>
                <w:b w:val="false"/>
                <w:bCs w:val="false"/>
                <w:i w:val="false"/>
                <w:iCs w:val="false"/>
                <w:sz w:val="19"/>
                <w:szCs w:val="19"/>
              </w:rPr>
              <w:t xml:space="preserve">New South Wales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Practice Note SC Gen 23, Use of Generative Artificial Intelligence (Gen AI). Adopted in the District Court, Local Court and Land and Environment Court, and applied in substance by NCAT. Paragraph 9A sets the conditions for compelled material; paragraph 13 requires the affidavit disclosure; paragraphs 16 to 18 govern submissions; paragraphs 19 to 25 govern expert reports.</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Issued 28 January 2025, commenced 3 February 2025</w:t>
            </w:r>
          </w:p>
        </w:tc>
        <w:tc>
          <w:tcPr>
            <w:tcW w:type="dxa" w:w="1900"/>
          </w:tcPr>
          <w:p>
            <w:r>
              <w:t>[URL to be recorded]</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Courts of New South Wales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Guidelines for New South Wales Judges in respect of use of Generative AI. A judge may require disclosure of any use in written submissions or other documents, and an assurance identifying the verification process followed.</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Issued 21 November 2024</w:t>
            </w:r>
          </w:p>
        </w:tc>
        <w:tc>
          <w:tcPr>
            <w:tcW w:type="dxa" w:w="1900"/>
          </w:tcPr>
          <w:p>
            <w:r>
              <w:t>[URL to be recorded]</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Federal Court of Australia</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Use of Generative Artificial Intelligence Practice Note (GPN-AI), read with the Central Practice Note and the Expert Evidence Practice Note. Applies to all persons who appear before or file documents with the Court.</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Issued 16 April 2026</w:t>
            </w:r>
          </w:p>
        </w:tc>
        <w:tc>
          <w:tcPr>
            <w:tcW w:type="dxa" w:w="1900"/>
          </w:tcPr>
          <w:p>
            <w:r>
              <w:t>fedcourt.gov.au/law-and-practice/practice-documents/practice-notes/gpn-ai</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Federal Circuit and Family</w:t>
            </w:r>
          </w:p>
          <w:p>
            <w:pPr>
              <w:spacing w:after="0" w:line="240"/>
            </w:pPr>
            <w:r>
              <w:rPr>
                <w:rFonts w:ascii="Calibri" w:cs="Calibri" w:eastAsia="Calibri" w:hAnsi="Calibri"/>
                <w:b w:val="false"/>
                <w:bCs w:val="false"/>
                <w:i w:val="false"/>
                <w:iCs w:val="false"/>
                <w:sz w:val="19"/>
                <w:szCs w:val="19"/>
              </w:rPr>
              <w:t xml:space="preserve">Court of Australia</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Practice Direction, Use of Artificial Intelligence. Applies to all proceedings and all court users, including lawyers and experts.</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Issued 29 May 2026</w:t>
            </w:r>
          </w:p>
        </w:tc>
        <w:tc>
          <w:tcPr>
            <w:tcW w:type="dxa" w:w="1900"/>
          </w:tcPr>
          <w:p>
            <w:r>
              <w:t>[URL to be recorded]</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Supreme Court of Victoria</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Practice Note SC Gen 25, The Use of Artificial Intelligence by Court Users. Court user includes lawyers and expert witnesses. Requires verification with meaningful human control, and that a court user be able to identify the portions of a document produced using AI and explain how the output was verified.</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Issued and commenced 14 May 2026</w:t>
            </w:r>
          </w:p>
        </w:tc>
        <w:tc>
          <w:tcPr>
            <w:tcW w:type="dxa" w:w="1900"/>
          </w:tcPr>
          <w:p>
            <w:r>
              <w:t>supremecourt.vic.gov.au/areas/legal-resources/practice-notes</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NSW Bar Association</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Issues Arising from the Use of AI Language Models (including ChatGPT) in Legal Practice. Approved by Bar Council 22 June 2023. May be considered by Bar Council in relation to a complaint.</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Published 12 July 2023</w:t>
            </w:r>
          </w:p>
        </w:tc>
        <w:tc>
          <w:tcPr>
            <w:tcW w:type="dxa" w:w="1900"/>
          </w:tcPr>
          <w:p>
            <w:r>
              <w:t>[URL to be recorded]</w:t>
              <w:br/>
              <w:t>Checked [date] by [name]</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[Other jurisdictions]</w:t>
            </w:r>
          </w:p>
        </w:tc>
        <w:tc>
          <w:tcPr>
            <w:tcW w:type="dxa" w:w="4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[To be completed]</w:t>
            </w:r>
          </w:p>
        </w:tc>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c>
          <w:tcPr>
            <w:tcW w:type="dxa" w:w="1900"/>
          </w:tcPr>
          <w:p>
            <w:r>
              <w:t>[URL to be recorded]</w:t>
              <w:br/>
              <w:t>Checked [date] by [name]</w:t>
            </w:r>
          </w:p>
        </w:tc>
      </w:tr>
    </w:tbl>
    <w:p>
      <w:pPr>
        <w:spacing w:after="160" w:line="240"/>
        <w:ind w:left="680"/>
        <w:jc w:val="both"/>
      </w:pPr>
      <w:r>
        <w:rPr>
          <w:rFonts w:ascii="Calibri" w:cs="Calibri" w:eastAsia="Calibri" w:hAnsi="Calibri"/>
          <w:b w:val="false"/>
          <w:bCs w:val="false"/>
          <w:i w:val="false"/>
          <w:iCs w:val="false"/>
          <w:sz w:val="21"/>
          <w:szCs w:val="21"/>
        </w:rPr>
        <w:t xml:space="preserve">The barrister must also consult the guidance of their own Bar Association, and where they practise in more than one jurisdiction, of each. In New South Wales that includes the Bar Association's guidance on the issues arising from the use of AI language models in legal practice, which was published on 12 July 2023 and therefore predates every court instrument listed above and every model now in use. It should be read with them, and its statements about particular products should be checked before they are relied on.</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6  Suitability path</w:t>
      </w:r>
    </w:p>
    <w:p>
      <w:pPr>
        <w:spacing w:after="200" w:line="240"/>
        <w:ind w:left="340" w:right="340"/>
        <w:jc w:val="both"/>
      </w:pPr>
      <w:r>
        <w:rPr>
          <w:rFonts w:ascii="Calibri" w:cs="Calibri" w:eastAsia="Calibri" w:hAnsi="Calibri"/>
          <w:b w:val="false"/>
          <w:bCs w:val="false"/>
          <w:i/>
          <w:iCs/>
          <w:color w:val="595959"/>
          <w:sz w:val="19"/>
          <w:szCs w:val="19"/>
        </w:rPr>
        <w:t xml:space="preserve">To be worked through before a tool is used on a task. Where the answer at a step is no, do not proceed until the action in the right-hand column has been taken.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2700"/>
      </w:tblGrid>
      <w:tr>
        <w:trPr>
          <w:tblHeader/>
          <w:cantSplit/>
        </w:trPr>
        <w:tc>
          <w:tcPr>
            <w:tcW w:type="dxa" w:w="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
            </w:r>
          </w:p>
        </w:tc>
        <w:tc>
          <w:tcPr>
            <w:tcW w:type="dxa" w:w="54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Question</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If no</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1</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 the task within the permitted uses recorded for a tool in Schedule 1?</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Do not use. Assess the tool under clause 7.4 first.</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2</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Has the consent required by clause 9 been obtained and recorded for this brief?</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Do not use. Clause 9.4 and 9.5.</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3</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 the task one of drafting, summarising, extracting, rewriting or researching, which if done by hand would be repetitive or formulaic?</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 tool is unlikely to be suitable. Consider clause 6.3 and 6.4.</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4</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Is the output something other than the content of a witness's evidence or an expert's opinion?</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Prohibited. Clause 8.1(c) and (d).</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5</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If restricted information is involved, have you personally completed the approval under clause 10.3?</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Do not use until you have done so. It cannot be done by anyone else.</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6</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Will you be able to satisfy each limb of clause 5.1, including explaining and supporting the work without the tool?</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Do not use. Clause 5.2.</w:t>
            </w:r>
          </w:p>
        </w:tc>
      </w:tr>
      <w:tr>
        <w:trPr>
          <w:tblHeader w:val="false"/>
          <w:cantSplit/>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7</w:t>
            </w:r>
          </w:p>
        </w:tc>
        <w:tc>
          <w:tcPr>
            <w:tcW w:type="dxa" w:w="54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Will the use reduce, or at least not increase, the cost to the client?</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Reconsider. Clause 15.2.</w:t>
            </w:r>
          </w:p>
        </w:tc>
      </w:tr>
    </w:tbl>
    <w:p>
      <w:pPr>
        <w:spacing w:after="160" w:line="240"/>
        <w:ind w:left="680"/>
        <w:jc w:val="both"/>
      </w:pPr>
      <w:r>
        <w:rPr>
          <w:rFonts w:ascii="Calibri" w:cs="Calibri" w:eastAsia="Calibri" w:hAnsi="Calibri"/>
          <w:b w:val="false"/>
          <w:bCs w:val="false"/>
          <w:i w:val="false"/>
          <w:iCs w:val="false"/>
          <w:sz w:val="21"/>
          <w:szCs w:val="21"/>
        </w:rPr>
        <w:t xml:space="preserve">Questions 1, 2, 4, 5 and 6 are absolute. Questions 3 and 7 require a judgment to be made and recorded before the task proceeds.</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7  Indicators of unverified use</w:t>
      </w:r>
    </w:p>
    <w:p>
      <w:pPr>
        <w:spacing w:after="200" w:line="240"/>
        <w:ind w:left="340" w:right="340"/>
        <w:jc w:val="both"/>
      </w:pPr>
      <w:r>
        <w:rPr>
          <w:rFonts w:ascii="Calibri" w:cs="Calibri" w:eastAsia="Calibri" w:hAnsi="Calibri"/>
          <w:b w:val="false"/>
          <w:bCs w:val="false"/>
          <w:i/>
          <w:iCs/>
          <w:color w:val="595959"/>
          <w:sz w:val="19"/>
          <w:szCs w:val="19"/>
        </w:rPr>
        <w:t xml:space="preserve">A barrister reviewing devilled work, a reader's work, or work received from an instructing solicitor should treat any of these as a reason for further inquiry.</w:t>
      </w:r>
    </w:p>
    <w:p>
      <w:pPr>
        <w:spacing w:after="160" w:line="240"/>
        <w:ind w:left="680"/>
        <w:jc w:val="both"/>
      </w:pPr>
      <w:r>
        <w:rPr>
          <w:rFonts w:ascii="Calibri" w:cs="Calibri" w:eastAsia="Calibri" w:hAnsi="Calibri"/>
          <w:b w:val="false"/>
          <w:bCs w:val="false"/>
          <w:i w:val="false"/>
          <w:iCs w:val="false"/>
          <w:sz w:val="21"/>
          <w:szCs w:val="21"/>
        </w:rPr>
        <w:t xml:space="preserve">A citation that cannot be found, or that does not match the parties, court or year given for it.</w:t>
      </w:r>
    </w:p>
    <w:p>
      <w:pPr>
        <w:spacing w:after="160" w:line="240"/>
        <w:ind w:left="680"/>
        <w:jc w:val="both"/>
      </w:pPr>
      <w:r>
        <w:rPr>
          <w:rFonts w:ascii="Calibri" w:cs="Calibri" w:eastAsia="Calibri" w:hAnsi="Calibri"/>
          <w:b w:val="false"/>
          <w:bCs w:val="false"/>
          <w:i w:val="false"/>
          <w:iCs w:val="false"/>
          <w:sz w:val="21"/>
          <w:szCs w:val="21"/>
        </w:rPr>
        <w:t xml:space="preserve">An analysis of the law that is out of date, incomplete, or does not account for a recent development.</w:t>
      </w:r>
    </w:p>
    <w:p>
      <w:pPr>
        <w:spacing w:after="160" w:line="240"/>
        <w:ind w:left="680"/>
        <w:jc w:val="both"/>
      </w:pPr>
      <w:r>
        <w:rPr>
          <w:rFonts w:ascii="Calibri" w:cs="Calibri" w:eastAsia="Calibri" w:hAnsi="Calibri"/>
          <w:b w:val="false"/>
          <w:bCs w:val="false"/>
          <w:i w:val="false"/>
          <w:iCs w:val="false"/>
          <w:sz w:val="21"/>
          <w:szCs w:val="21"/>
        </w:rPr>
        <w:t xml:space="preserve">Authority drawn from another jurisdiction and applied without adjustment for substantive or procedural differences.</w:t>
      </w:r>
    </w:p>
    <w:p>
      <w:pPr>
        <w:spacing w:after="160" w:line="240"/>
        <w:ind w:left="680"/>
        <w:jc w:val="both"/>
      </w:pPr>
      <w:r>
        <w:rPr>
          <w:rFonts w:ascii="Calibri" w:cs="Calibri" w:eastAsia="Calibri" w:hAnsi="Calibri"/>
          <w:b w:val="false"/>
          <w:bCs w:val="false"/>
          <w:i w:val="false"/>
          <w:iCs w:val="false"/>
          <w:sz w:val="21"/>
          <w:szCs w:val="21"/>
        </w:rPr>
        <w:t xml:space="preserve">Reasoning that supports the client's case at every step, with no adverse authority identified anywhere.</w:t>
      </w:r>
    </w:p>
    <w:p>
      <w:pPr>
        <w:spacing w:after="160" w:line="240"/>
        <w:ind w:left="680"/>
        <w:jc w:val="both"/>
      </w:pPr>
      <w:r>
        <w:rPr>
          <w:rFonts w:ascii="Calibri" w:cs="Calibri" w:eastAsia="Calibri" w:hAnsi="Calibri"/>
          <w:b w:val="false"/>
          <w:bCs w:val="false"/>
          <w:i w:val="false"/>
          <w:iCs w:val="false"/>
          <w:sz w:val="21"/>
          <w:szCs w:val="21"/>
        </w:rPr>
        <w:t xml:space="preserve">A submission that diverges from the reader's understanding of the applicable law, or contains an obvious substantive error.</w:t>
      </w:r>
    </w:p>
    <w:p>
      <w:pPr>
        <w:spacing w:after="160" w:line="240"/>
        <w:ind w:left="680"/>
        <w:jc w:val="both"/>
      </w:pPr>
      <w:r>
        <w:rPr>
          <w:rFonts w:ascii="Calibri" w:cs="Calibri" w:eastAsia="Calibri" w:hAnsi="Calibri"/>
          <w:b w:val="false"/>
          <w:bCs w:val="false"/>
          <w:i w:val="false"/>
          <w:iCs w:val="false"/>
          <w:sz w:val="21"/>
          <w:szCs w:val="21"/>
        </w:rPr>
        <w:t xml:space="preserve">Non-specific or repetitive language, or a document that reads as though it could apply to any case.</w:t>
      </w:r>
    </w:p>
    <w:p>
      <w:pPr>
        <w:spacing w:after="160" w:line="240"/>
        <w:ind w:left="680"/>
        <w:jc w:val="both"/>
      </w:pPr>
      <w:r>
        <w:rPr>
          <w:rFonts w:ascii="Calibri" w:cs="Calibri" w:eastAsia="Calibri" w:hAnsi="Calibri"/>
          <w:b w:val="false"/>
          <w:bCs w:val="false"/>
          <w:i w:val="false"/>
          <w:iCs w:val="false"/>
          <w:sz w:val="21"/>
          <w:szCs w:val="21"/>
        </w:rPr>
        <w:t xml:space="preserve">Expressions or spellings associated with another jurisdiction.</w:t>
      </w:r>
    </w:p>
    <w:p>
      <w:pPr>
        <w:spacing w:after="160" w:line="240"/>
        <w:ind w:left="680"/>
        <w:jc w:val="both"/>
      </w:pPr>
      <w:r>
        <w:rPr>
          <w:rFonts w:ascii="Calibri" w:cs="Calibri" w:eastAsia="Calibri" w:hAnsi="Calibri"/>
          <w:b w:val="false"/>
          <w:bCs w:val="false"/>
          <w:i w:val="false"/>
          <w:iCs w:val="false"/>
          <w:sz w:val="21"/>
          <w:szCs w:val="21"/>
        </w:rPr>
        <w:t xml:space="preserve">A quotation that is fluent and apt but cannot be located in the source given for it.</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8  Application settings</w:t>
      </w:r>
    </w:p>
    <w:p>
      <w:pPr>
        <w:spacing w:after="200" w:line="240"/>
        <w:ind w:left="340" w:right="340"/>
        <w:jc w:val="both"/>
      </w:pPr>
      <w:r>
        <w:rPr>
          <w:rFonts w:ascii="Calibri" w:cs="Calibri" w:eastAsia="Calibri" w:hAnsi="Calibri"/>
          <w:b w:val="false"/>
          <w:bCs w:val="false"/>
          <w:i/>
          <w:iCs/>
          <w:color w:val="595959"/>
          <w:sz w:val="19"/>
          <w:szCs w:val="19"/>
        </w:rPr>
        <w:t xml:space="preserve">Maintained under clause 7 and reviewed at least annually. An application not listed is not approved. Every claim about training, retention and data location must be traceable to the assessment kept with Schedule 1, and not to a supplier's marketing material.</w:t>
      </w:r>
    </w:p>
    <w:p>
      <w:pPr>
        <w:spacing w:after="200" w:line="240"/>
        <w:ind w:left="340" w:right="340"/>
        <w:jc w:val="both"/>
      </w:pPr>
      <w:r>
        <w:rPr>
          <w:rFonts w:ascii="Calibri" w:cs="Calibri" w:eastAsia="Calibri" w:hAnsi="Calibri"/>
          <w:b w:val="0"/>
          <w:bCs w:val="false"/>
          <w:i w:val="0"/>
          <w:iCs/>
          <w:color w:val="595959"/>
          <w:sz w:val="19"/>
          <w:szCs w:val="19"/>
        </w:rPr>
        <w:t>Three kinds of statement appear here and must not be read alike. A supplier fact is something the supplier states and the assessment records, such as a retention period or a processing location; it is verified against the executed agreement rather than marketing material, and it changes when the contract changes. A deployment fact is something true of these particular arrangements, such as the tier held or the region configured, and every one of them must be replaced on adoption. A conclusion is a view taken of what the instruments require, and carries the date it was approved and by whom. Where an entry mixes them, the supplier fact is the part that must be traceable to the evidence held for the tool.</w:t>
      </w:r>
    </w:p>
    <w:p>
      <w:pPr>
        <w:pStyle w:val="Heading2"/>
        <w:spacing w:after="100" w:before="240"/>
      </w:pPr>
      <w:r>
        <w:rPr>
          <w:rFonts w:ascii="Calibri" w:cs="Calibri" w:eastAsia="Calibri" w:hAnsi="Calibri"/>
          <w:b/>
          <w:bCs/>
          <w:i w:val="false"/>
          <w:iCs w:val="false"/>
          <w:color w:val="000000"/>
          <w:sz w:val="21"/>
          <w:szCs w:val="21"/>
        </w:rPr>
        <w:t xml:space="preserve">Part A  Approved for brief material</w:t>
      </w:r>
    </w:p>
    <w:p>
      <w:pPr>
        <w:spacing w:after="200" w:line="240"/>
        <w:ind w:left="340" w:right="340"/>
        <w:jc w:val="both"/>
      </w:pPr>
      <w:r>
        <w:rPr>
          <w:rFonts w:ascii="Calibri" w:cs="Calibri" w:eastAsia="Calibri" w:hAnsi="Calibri"/>
          <w:b w:val="false"/>
          <w:bCs w:val="false"/>
          <w:i/>
          <w:iCs/>
          <w:color w:val="595959"/>
          <w:sz w:val="19"/>
          <w:szCs w:val="19"/>
        </w:rPr>
        <w:t xml:space="preserve">These may be used on brief material subject to the settings recorded and to the consent required by clause 9. Approval for restricted information under clause 10 is stated separately.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450"/>
        <w:gridCol w:w="2050"/>
      </w:tblGrid>
      <w:tr>
        <w:trPr>
          <w:tblHeader/>
          <w:cantSplit/>
        </w:trPr>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Application</w:t>
            </w:r>
          </w:p>
        </w:tc>
        <w:tc>
          <w:tcPr>
            <w:tcW w:type="dxa" w:w="1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Account required</w:t>
            </w:r>
          </w:p>
        </w:tc>
        <w:tc>
          <w:tcPr>
            <w:tcW w:type="dxa" w:w="34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Settings and prerequisites</w:t>
            </w:r>
          </w:p>
        </w:tc>
        <w:tc>
          <w:tcPr>
            <w:tcW w:type="dxa" w:w="205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Restricted information</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Legal research platform</w:t>
            </w:r>
          </w:p>
          <w:p>
            <w:pPr>
              <w:spacing w:after="0" w:line="240"/>
            </w:pPr>
            <w:r>
              <w:rPr>
                <w:rFonts w:ascii="Calibri" w:cs="Calibri" w:eastAsia="Calibri" w:hAnsi="Calibri"/>
                <w:b w:val="false"/>
                <w:bCs w:val="false"/>
                <w:i w:val="false"/>
                <w:iCs w:val="false"/>
                <w:sz w:val="19"/>
                <w:szCs w:val="19"/>
              </w:rPr>
              <w:t xml:space="preserve">with AI answers</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Subscription in the</w:t>
            </w:r>
          </w:p>
          <w:p>
            <w:pPr>
              <w:spacing w:after="0" w:line="240"/>
            </w:pPr>
            <w:r>
              <w:rPr>
                <w:rFonts w:ascii="Calibri" w:cs="Calibri" w:eastAsia="Calibri" w:hAnsi="Calibri"/>
                <w:b w:val="false"/>
                <w:bCs w:val="false"/>
                <w:i w:val="false"/>
                <w:iCs w:val="false"/>
                <w:sz w:val="19"/>
                <w:szCs w:val="19"/>
              </w:rPr>
              <w:t xml:space="preserve">barrister's own name</w:t>
            </w:r>
          </w:p>
        </w:tc>
        <w:tc>
          <w:tcPr>
            <w:tcW w:type="dxa" w:w="3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Written confirmation that prompts and output are not used for training, that model calls use zero-retention interfaces, and where data is processed. Retention set to the shortest available. Terms of service recorded and dated.</w:t>
            </w:r>
          </w:p>
        </w:tc>
        <w:tc>
          <w:tcPr>
            <w:tcW w:type="dxa" w:w="20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Permitted where the matters in clause 10.3 are established by the contract and the judgment is recorded.</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General assistant,</w:t>
            </w:r>
          </w:p>
          <w:p>
            <w:pPr>
              <w:spacing w:after="0" w:line="240"/>
            </w:pPr>
            <w:r>
              <w:rPr>
                <w:rFonts w:ascii="Calibri" w:cs="Calibri" w:eastAsia="Calibri" w:hAnsi="Calibri"/>
                <w:b w:val="false"/>
                <w:bCs w:val="false"/>
                <w:i w:val="false"/>
                <w:iCs w:val="false"/>
                <w:sz w:val="19"/>
                <w:szCs w:val="19"/>
              </w:rPr>
              <w:t xml:space="preserve">business account</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Business or enterprise</w:t>
            </w:r>
          </w:p>
          <w:p>
            <w:pPr>
              <w:spacing w:after="0" w:line="240"/>
            </w:pPr>
            <w:r>
              <w:rPr>
                <w:rFonts w:ascii="Calibri" w:cs="Calibri" w:eastAsia="Calibri" w:hAnsi="Calibri"/>
                <w:b w:val="false"/>
                <w:bCs w:val="false"/>
                <w:i w:val="false"/>
                <w:iCs w:val="false"/>
                <w:sz w:val="19"/>
                <w:szCs w:val="19"/>
              </w:rPr>
              <w:t xml:space="preserve">account; free and</w:t>
            </w:r>
          </w:p>
          <w:p>
            <w:pPr>
              <w:spacing w:after="0" w:line="240"/>
            </w:pPr>
            <w:r>
              <w:rPr>
                <w:rFonts w:ascii="Calibri" w:cs="Calibri" w:eastAsia="Calibri" w:hAnsi="Calibri"/>
                <w:b w:val="false"/>
                <w:bCs w:val="false"/>
                <w:i w:val="false"/>
                <w:iCs w:val="false"/>
                <w:sz w:val="19"/>
                <w:szCs w:val="19"/>
              </w:rPr>
              <w:t xml:space="preserve">personal accounts</w:t>
            </w:r>
          </w:p>
          <w:p>
            <w:pPr>
              <w:spacing w:after="0" w:line="240"/>
            </w:pPr>
            <w:r>
              <w:rPr>
                <w:rFonts w:ascii="Calibri" w:cs="Calibri" w:eastAsia="Calibri" w:hAnsi="Calibri"/>
                <w:b w:val="false"/>
                <w:bCs w:val="false"/>
                <w:i w:val="false"/>
                <w:iCs w:val="false"/>
                <w:sz w:val="19"/>
                <w:szCs w:val="19"/>
              </w:rPr>
              <w:t xml:space="preserve">prohibited</w:t>
            </w:r>
          </w:p>
        </w:tc>
        <w:tc>
          <w:tcPr>
            <w:tcW w:type="dxa" w:w="3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Training off under the commercial terms and established by the contract, not by a user setting. Feedback, bug-report and transcript-sharing features disabled, because those channels retain material far longer than a session. Retention set to the shortest available. Where a chambers account is used, member separation established under clause 19.4.</w:t>
            </w:r>
          </w:p>
        </w:tc>
        <w:tc>
          <w:tcPr>
            <w:tcW w:type="dxa" w:w="20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Permitted only where clause 10.3 is satisfied and recorded. A retention period is not publication and not training, so a short retention period is not itself a bar, but the contractual term and the barrister's own record carry the weight.</w:t>
            </w:r>
          </w:p>
        </w:tc>
      </w:tr>
      <w:tr>
        <w:trPr>
          <w:tblHeader w:val="false"/>
          <w:cantSplit/>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Assistant within a</w:t>
            </w:r>
          </w:p>
          <w:p>
            <w:pPr>
              <w:spacing w:after="0" w:line="240"/>
            </w:pPr>
            <w:r>
              <w:rPr>
                <w:rFonts w:ascii="Calibri" w:cs="Calibri" w:eastAsia="Calibri" w:hAnsi="Calibri"/>
                <w:b w:val="false"/>
                <w:bCs w:val="false"/>
                <w:i w:val="false"/>
                <w:iCs w:val="false"/>
                <w:sz w:val="19"/>
                <w:szCs w:val="19"/>
              </w:rPr>
              <w:t xml:space="preserve">controlled tenancy</w:t>
            </w:r>
          </w:p>
        </w:tc>
        <w:tc>
          <w:tcPr>
            <w:tcW w:type="dxa" w:w="1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Tenancy in an</w:t>
            </w:r>
          </w:p>
          <w:p>
            <w:pPr>
              <w:spacing w:after="0" w:line="240"/>
            </w:pPr>
            <w:r>
              <w:rPr>
                <w:rFonts w:ascii="Calibri" w:cs="Calibri" w:eastAsia="Calibri" w:hAnsi="Calibri"/>
                <w:b w:val="false"/>
                <w:bCs w:val="false"/>
                <w:i w:val="false"/>
                <w:iCs w:val="false"/>
                <w:sz w:val="19"/>
                <w:szCs w:val="19"/>
              </w:rPr>
              <w:t xml:space="preserve">Australian region</w:t>
            </w:r>
          </w:p>
        </w:tc>
        <w:tc>
          <w:tcPr>
            <w:tcW w:type="dxa" w:w="34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Region pinned to Australia. Prompts and completions remain within the tenancy. Non-essential traffic to the supplier disabled. Logging enabled.</w:t>
            </w:r>
          </w:p>
        </w:tc>
        <w:tc>
          <w:tcPr>
            <w:tcW w:type="dxa" w:w="205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Permitted, and the route to use where the terms of the brief or the sensitivity of the material require that the supplier retain nothing.</w:t>
            </w:r>
          </w:p>
        </w:tc>
      </w:tr>
    </w:tbl>
    <w:p>
      <w:pPr>
        <w:spacing w:after="200"/>
      </w:pPr>
      <w:r>
        <w:rPr>
          <w:rFonts w:ascii="Calibri" w:cs="Calibri" w:eastAsia="Calibri" w:hAnsi="Calibri"/>
          <w:b w:val="false"/>
          <w:bCs w:val="false"/>
          <w:i w:val="false"/>
          <w:iCs w:val="false"/>
          <w:sz w:val="21"/>
          <w:szCs w:val="21"/>
        </w:rPr>
        <w:t xml:space="preserve"/>
      </w:r>
    </w:p>
    <w:p>
      <w:pPr>
        <w:pStyle w:val="Heading2"/>
        <w:spacing w:after="100" w:before="240"/>
      </w:pPr>
      <w:r>
        <w:rPr>
          <w:rFonts w:ascii="Calibri" w:cs="Calibri" w:eastAsia="Calibri" w:hAnsi="Calibri"/>
          <w:b/>
          <w:bCs/>
          <w:i w:val="false"/>
          <w:iCs w:val="false"/>
          <w:color w:val="000000"/>
          <w:sz w:val="21"/>
          <w:szCs w:val="21"/>
        </w:rPr>
        <w:t xml:space="preserve">Part B  Approved for general use only</w:t>
      </w:r>
    </w:p>
    <w:p>
      <w:pPr>
        <w:spacing w:after="200" w:line="240"/>
        <w:ind w:left="340" w:right="340"/>
        <w:jc w:val="both"/>
      </w:pPr>
      <w:r>
        <w:rPr>
          <w:rFonts w:ascii="Calibri" w:cs="Calibri" w:eastAsia="Calibri" w:hAnsi="Calibri"/>
          <w:b w:val="false"/>
          <w:bCs w:val="false"/>
          <w:i/>
          <w:iCs/>
          <w:color w:val="595959"/>
          <w:sz w:val="19"/>
          <w:szCs w:val="19"/>
        </w:rPr>
        <w:t xml:space="preserve">No confidential information may be entered into these in any form.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3600"/>
      </w:tblGrid>
      <w:tr>
        <w:trPr>
          <w:tblHeader/>
          <w:cantSplit/>
        </w:trPr>
        <w:tc>
          <w:tcPr>
            <w:tcW w:type="dxa" w:w="19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Application</w:t>
            </w:r>
          </w:p>
        </w:tc>
        <w:tc>
          <w:tcPr>
            <w:tcW w:type="dxa" w:w="3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Permitted use</w:t>
            </w:r>
          </w:p>
        </w:tc>
        <w:tc>
          <w:tcPr>
            <w:tcW w:type="dxa" w:w="3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Settings and prerequisites</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General assistant,</w:t>
            </w:r>
          </w:p>
          <w:p>
            <w:pPr>
              <w:spacing w:after="0" w:line="240"/>
            </w:pPr>
            <w:r>
              <w:rPr>
                <w:rFonts w:ascii="Calibri" w:cs="Calibri" w:eastAsia="Calibri" w:hAnsi="Calibri"/>
                <w:b w:val="false"/>
                <w:bCs w:val="false"/>
                <w:i w:val="false"/>
                <w:iCs w:val="false"/>
                <w:sz w:val="19"/>
                <w:szCs w:val="19"/>
              </w:rPr>
              <w:t xml:space="preserve">personal account</w:t>
            </w:r>
          </w:p>
        </w:tc>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Continuing education, chambers</w:t>
            </w:r>
          </w:p>
          <w:p>
            <w:pPr>
              <w:spacing w:after="0" w:line="240"/>
            </w:pPr>
            <w:r>
              <w:rPr>
                <w:rFonts w:ascii="Calibri" w:cs="Calibri" w:eastAsia="Calibri" w:hAnsi="Calibri"/>
                <w:b w:val="false"/>
                <w:bCs w:val="false"/>
                <w:i w:val="false"/>
                <w:iCs w:val="false"/>
                <w:sz w:val="19"/>
                <w:szCs w:val="19"/>
              </w:rPr>
              <w:t xml:space="preserve">administration, and matters</w:t>
            </w:r>
          </w:p>
          <w:p>
            <w:pPr>
              <w:spacing w:after="0" w:line="240"/>
            </w:pPr>
            <w:r>
              <w:rPr>
                <w:rFonts w:ascii="Calibri" w:cs="Calibri" w:eastAsia="Calibri" w:hAnsi="Calibri"/>
                <w:b w:val="false"/>
                <w:bCs w:val="false"/>
                <w:i w:val="false"/>
                <w:iCs w:val="false"/>
                <w:sz w:val="19"/>
                <w:szCs w:val="19"/>
              </w:rPr>
              <w:t xml:space="preserve">unconnected with any brief</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No confidential information of any kind, including material the user considers anonymised. Not to be used for research on a live brief, because the answer will be shaped by the facts entered.</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Note and knowledge</w:t>
            </w:r>
          </w:p>
          <w:p>
            <w:pPr>
              <w:spacing w:after="0" w:line="240"/>
            </w:pPr>
            <w:r>
              <w:rPr>
                <w:rFonts w:ascii="Calibri" w:cs="Calibri" w:eastAsia="Calibri" w:hAnsi="Calibri"/>
                <w:b w:val="false"/>
                <w:bCs w:val="false"/>
                <w:i w:val="false"/>
                <w:iCs w:val="false"/>
                <w:sz w:val="19"/>
                <w:szCs w:val="19"/>
              </w:rPr>
              <w:t xml:space="preserve">platform with AI features</w:t>
            </w:r>
          </w:p>
        </w:tc>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Papers, seminars and precedents</w:t>
            </w:r>
          </w:p>
          <w:p>
            <w:pPr>
              <w:spacing w:after="0" w:line="240"/>
            </w:pPr>
            <w:r>
              <w:rPr>
                <w:rFonts w:ascii="Calibri" w:cs="Calibri" w:eastAsia="Calibri" w:hAnsi="Calibri"/>
                <w:b w:val="false"/>
                <w:bCs w:val="false"/>
                <w:i w:val="false"/>
                <w:iCs w:val="false"/>
                <w:sz w:val="19"/>
                <w:szCs w:val="19"/>
              </w:rPr>
              <w:t xml:space="preserve">containing no client material</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Any programme that shares content with the supplier to improve a model must remain off. Data region confirmed.</w:t>
            </w:r>
          </w:p>
        </w:tc>
      </w:tr>
      <w:tr>
        <w:trPr>
          <w:tblHeader w:val="false"/>
          <w:cantSplit/>
        </w:trPr>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Locally hosted model</w:t>
            </w:r>
          </w:p>
        </w:tc>
        <w:tc>
          <w:tcPr>
            <w:tcW w:type="dxa" w:w="3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Any, including sensitive material</w:t>
            </w:r>
          </w:p>
        </w:tc>
        <w:tc>
          <w:tcPr>
            <w:tcW w:type="dxa" w:w="3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Runs on the device with no network egress. Confirm no telemetry and no cloud synchronisation. The lowest exposure of any option and preferred where the material is sensitive and the task allows it.</w:t>
            </w:r>
          </w:p>
        </w:tc>
      </w:tr>
    </w:tbl>
    <w:p>
      <w:pPr>
        <w:spacing w:after="200"/>
      </w:pPr>
      <w:r>
        <w:rPr>
          <w:rFonts w:ascii="Calibri" w:cs="Calibri" w:eastAsia="Calibri" w:hAnsi="Calibri"/>
          <w:b w:val="false"/>
          <w:bCs w:val="false"/>
          <w:i w:val="false"/>
          <w:iCs w:val="false"/>
          <w:sz w:val="21"/>
          <w:szCs w:val="21"/>
        </w:rPr>
        <w:t xml:space="preserve"/>
      </w:r>
    </w:p>
    <w:p>
      <w:pPr>
        <w:pStyle w:val="Heading2"/>
        <w:spacing w:after="100" w:before="240"/>
      </w:pPr>
      <w:r>
        <w:rPr>
          <w:rFonts w:ascii="Calibri" w:cs="Calibri" w:eastAsia="Calibri" w:hAnsi="Calibri"/>
          <w:b/>
          <w:bCs/>
          <w:i w:val="false"/>
          <w:iCs w:val="false"/>
          <w:color w:val="000000"/>
          <w:sz w:val="21"/>
          <w:szCs w:val="21"/>
        </w:rPr>
        <w:t xml:space="preserve">Part C  Recording, transcription and note-taking</w:t>
      </w:r>
    </w:p>
    <w:p>
      <w:pPr>
        <w:spacing w:after="200" w:line="240"/>
        <w:ind w:left="340" w:right="340"/>
        <w:jc w:val="both"/>
      </w:pPr>
      <w:r>
        <w:rPr>
          <w:rFonts w:ascii="Calibri" w:cs="Calibri" w:eastAsia="Calibri" w:hAnsi="Calibri"/>
          <w:b w:val="false"/>
          <w:bCs w:val="false"/>
          <w:i/>
          <w:iCs/>
          <w:color w:val="595959"/>
          <w:sz w:val="19"/>
          <w:szCs w:val="19"/>
        </w:rPr>
        <w:t xml:space="preserve">Clause 16 governs use. Consent is required before recording begins, and recording is prohibited in court.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000"/>
      </w:tblGrid>
      <w:tr>
        <w:trPr>
          <w:tblHeader/>
          <w:cantSplit/>
        </w:trPr>
        <w:tc>
          <w:tcPr>
            <w:tcW w:type="dxa" w:w="2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Application</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Status</w:t>
            </w:r>
          </w:p>
        </w:tc>
        <w:tc>
          <w:tcPr>
            <w:tcW w:type="dxa" w:w="50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Settings and conditions</w:t>
            </w:r>
          </w:p>
        </w:tc>
      </w:tr>
      <w:tr>
        <w:trPr>
          <w:tblHeader w:val="false"/>
          <w:cantSplit/>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Transcription within a</w:t>
            </w:r>
          </w:p>
          <w:p>
            <w:pPr>
              <w:spacing w:after="0" w:line="240"/>
            </w:pPr>
            <w:r>
              <w:rPr>
                <w:rFonts w:ascii="Calibri" w:cs="Calibri" w:eastAsia="Calibri" w:hAnsi="Calibri"/>
                <w:b w:val="false"/>
                <w:bCs w:val="false"/>
                <w:i w:val="false"/>
                <w:iCs w:val="false"/>
                <w:sz w:val="19"/>
                <w:szCs w:val="19"/>
              </w:rPr>
              <w:t xml:space="preserve">controlled conferencing</w:t>
            </w:r>
          </w:p>
          <w:p>
            <w:pPr>
              <w:spacing w:after="0" w:line="240"/>
            </w:pPr>
            <w:r>
              <w:rPr>
                <w:rFonts w:ascii="Calibri" w:cs="Calibri" w:eastAsia="Calibri" w:hAnsi="Calibri"/>
                <w:b w:val="false"/>
                <w:bCs w:val="false"/>
                <w:i w:val="false"/>
                <w:iCs w:val="false"/>
                <w:sz w:val="19"/>
                <w:szCs w:val="19"/>
              </w:rPr>
              <w:t xml:space="preserve">platform</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Approved</w:t>
            </w:r>
          </w:p>
        </w:tc>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Automatic transcription and automatic summary off. Started only after the consent at clause 16.3 is obtained and noted on the brief. Transcript filed to the brief and checked against the audio before use.</w:t>
            </w:r>
          </w:p>
        </w:tc>
      </w:tr>
      <w:tr>
        <w:trPr>
          <w:tblHeader w:val="false"/>
          <w:cantSplit/>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Cloud meeting assistant</w:t>
            </w:r>
          </w:p>
          <w:p>
            <w:pPr>
              <w:spacing w:after="0" w:line="240"/>
            </w:pPr>
            <w:r>
              <w:rPr>
                <w:rFonts w:ascii="Calibri" w:cs="Calibri" w:eastAsia="Calibri" w:hAnsi="Calibri"/>
                <w:b w:val="false"/>
                <w:bCs w:val="false"/>
                <w:i w:val="false"/>
                <w:iCs w:val="false"/>
                <w:sz w:val="19"/>
                <w:szCs w:val="19"/>
              </w:rPr>
              <w:t xml:space="preserve">that joins as a participant</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Prohibited</w:t>
            </w:r>
          </w:p>
        </w:tc>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These join and record without a positive act by the user, and the consent position and data path cannot be controlled. Not to be installed on a device used in practice.</w:t>
            </w:r>
          </w:p>
        </w:tc>
      </w:tr>
      <w:tr>
        <w:trPr>
          <w:tblHeader w:val="false"/>
          <w:cantSplit/>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Dictation</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Approved where</w:t>
            </w:r>
          </w:p>
          <w:p>
            <w:pPr>
              <w:spacing w:after="0" w:line="240"/>
            </w:pPr>
            <w:r>
              <w:rPr>
                <w:rFonts w:ascii="Calibri" w:cs="Calibri" w:eastAsia="Calibri" w:hAnsi="Calibri"/>
                <w:b w:val="false"/>
                <w:bCs w:val="false"/>
                <w:i w:val="false"/>
                <w:iCs w:val="false"/>
                <w:sz w:val="19"/>
                <w:szCs w:val="19"/>
              </w:rPr>
              <w:t xml:space="preserve">on-device</w:t>
            </w:r>
          </w:p>
        </w:tc>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On-device processing only. A dictation service that transmits audio to a supplier is a use of confidential information and must be entered in Part A, with consent under clause 9, before use.</w:t>
            </w:r>
          </w:p>
        </w:tc>
      </w:tr>
      <w:tr>
        <w:trPr>
          <w:tblHeader w:val="false"/>
          <w:cantSplit/>
        </w:trPr>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Any recording or</w:t>
            </w:r>
          </w:p>
          <w:p>
            <w:pPr>
              <w:spacing w:after="0" w:line="240"/>
            </w:pPr>
            <w:r>
              <w:rPr>
                <w:rFonts w:ascii="Calibri" w:cs="Calibri" w:eastAsia="Calibri" w:hAnsi="Calibri"/>
                <w:b w:val="false"/>
                <w:bCs w:val="false"/>
                <w:i w:val="false"/>
                <w:iCs w:val="false"/>
                <w:sz w:val="19"/>
                <w:szCs w:val="19"/>
              </w:rPr>
              <w:t xml:space="preserve">transcription in court</w:t>
            </w:r>
          </w:p>
        </w:tc>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Prohibited</w:t>
            </w:r>
          </w:p>
        </w:tc>
        <w:tc>
          <w:tcPr>
            <w:tcW w:type="dxa" w:w="5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See clause 16.4. Leave of the court is required and is not implied by a remote hearing.</w:t>
            </w:r>
          </w:p>
        </w:tc>
      </w:tr>
    </w:tbl>
    <w:p>
      <w:pPr>
        <w:spacing w:after="200"/>
      </w:pPr>
      <w:r>
        <w:rPr>
          <w:rFonts w:ascii="Calibri" w:cs="Calibri" w:eastAsia="Calibri" w:hAnsi="Calibri"/>
          <w:b w:val="false"/>
          <w:bCs w:val="false"/>
          <w:i w:val="false"/>
          <w:iCs w:val="false"/>
          <w:sz w:val="21"/>
          <w:szCs w:val="21"/>
        </w:rPr>
        <w:t xml:space="preserve"/>
      </w:r>
    </w:p>
    <w:p>
      <w:pPr>
        <w:pStyle w:val="Heading2"/>
        <w:spacing w:after="100" w:before="240"/>
      </w:pPr>
      <w:r>
        <w:rPr>
          <w:rFonts w:ascii="Calibri" w:cs="Calibri" w:eastAsia="Calibri" w:hAnsi="Calibri"/>
          <w:b/>
          <w:bCs/>
          <w:i w:val="false"/>
          <w:iCs w:val="false"/>
          <w:color w:val="000000"/>
          <w:sz w:val="21"/>
          <w:szCs w:val="21"/>
        </w:rPr>
        <w:t xml:space="preserve">Part D  Prohibited</w:t>
      </w:r>
    </w:p>
    <w:p>
      <w:pPr>
        <w:spacing w:after="200" w:line="240"/>
        <w:ind w:left="340" w:right="340"/>
        <w:jc w:val="both"/>
      </w:pPr>
      <w:r>
        <w:rPr>
          <w:rFonts w:ascii="Calibri" w:cs="Calibri" w:eastAsia="Calibri" w:hAnsi="Calibri"/>
          <w:b w:val="false"/>
          <w:bCs w:val="false"/>
          <w:i/>
          <w:iCs/>
          <w:color w:val="595959"/>
          <w:sz w:val="19"/>
          <w:szCs w:val="19"/>
        </w:rPr>
        <w:t xml:space="preserve">These must not be used for any purpose connected with practice. See clause 8.4.</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6100"/>
      </w:tblGrid>
      <w:tr>
        <w:trPr>
          <w:tblHeade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Application or category</w:t>
            </w:r>
          </w:p>
        </w:tc>
        <w:tc>
          <w:tcPr>
            <w:tcW w:type="dxa" w:w="61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Reason</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Any tool whose terms permit the supplier to</w:t>
            </w:r>
          </w:p>
          <w:p>
            <w:pPr>
              <w:spacing w:after="0" w:line="240"/>
            </w:pPr>
            <w:r>
              <w:rPr>
                <w:rFonts w:ascii="Calibri" w:cs="Calibri" w:eastAsia="Calibri" w:hAnsi="Calibri"/>
                <w:b w:val="false"/>
                <w:bCs w:val="false"/>
                <w:i w:val="false"/>
                <w:iCs w:val="false"/>
                <w:sz w:val="19"/>
                <w:szCs w:val="19"/>
              </w:rPr>
              <w:t xml:space="preserve">train on inputs, with no opt-out the barrister</w:t>
            </w:r>
          </w:p>
          <w:p>
            <w:pPr>
              <w:spacing w:after="0" w:line="240"/>
            </w:pPr>
            <w:r>
              <w:rPr>
                <w:rFonts w:ascii="Calibri" w:cs="Calibri" w:eastAsia="Calibri" w:hAnsi="Calibri"/>
                <w:b w:val="false"/>
                <w:bCs w:val="false"/>
                <w:i w:val="false"/>
                <w:iCs w:val="false"/>
                <w:sz w:val="19"/>
                <w:szCs w:val="19"/>
              </w:rPr>
              <w:t xml:space="preserve">can enforce</w:t>
            </w:r>
          </w:p>
        </w:tc>
        <w:tc>
          <w:tcPr>
            <w:tcW w:type="dxa" w:w="6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The barrister cannot be satisfied of the matters in clause 7.4 or clause 10.3, and the use is capable of breaching the confidentiality rules whatever the barrister intends.</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Any tool that processes or stores material in a</w:t>
            </w:r>
          </w:p>
          <w:p>
            <w:pPr>
              <w:spacing w:after="0" w:line="240"/>
            </w:pPr>
            <w:r>
              <w:rPr>
                <w:rFonts w:ascii="Calibri" w:cs="Calibri" w:eastAsia="Calibri" w:hAnsi="Calibri"/>
                <w:b w:val="false"/>
                <w:bCs w:val="false"/>
                <w:i w:val="false"/>
                <w:iCs w:val="false"/>
                <w:sz w:val="19"/>
                <w:szCs w:val="19"/>
              </w:rPr>
              <w:t xml:space="preserve">jurisdiction from which the barrister cannot</w:t>
            </w:r>
          </w:p>
          <w:p>
            <w:pPr>
              <w:spacing w:after="0" w:line="240"/>
            </w:pPr>
            <w:r>
              <w:rPr>
                <w:rFonts w:ascii="Calibri" w:cs="Calibri" w:eastAsia="Calibri" w:hAnsi="Calibri"/>
                <w:b w:val="false"/>
                <w:bCs w:val="false"/>
                <w:i w:val="false"/>
                <w:iCs w:val="false"/>
                <w:sz w:val="19"/>
                <w:szCs w:val="19"/>
              </w:rPr>
              <w:t xml:space="preserve">enforce confidentiality</w:t>
            </w:r>
          </w:p>
        </w:tc>
        <w:tc>
          <w:tcPr>
            <w:tcW w:type="dxa" w:w="6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No setting cures the position. Some such tools have been prohibited across Australian government entities on security grounds.</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Free and personal-subscription tiers, on a brief</w:t>
            </w:r>
          </w:p>
        </w:tc>
        <w:tc>
          <w:tcPr>
            <w:tcW w:type="dxa" w:w="6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The controls are held by the user and can be changed by the user, so they are not controls at all for the purposes of clause 7.7.</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Meeting assistants that join or record</w:t>
            </w:r>
          </w:p>
          <w:p>
            <w:pPr>
              <w:spacing w:after="0" w:line="240"/>
            </w:pPr>
            <w:r>
              <w:rPr>
                <w:rFonts w:ascii="Calibri" w:cs="Calibri" w:eastAsia="Calibri" w:hAnsi="Calibri"/>
                <w:b w:val="false"/>
                <w:bCs w:val="false"/>
                <w:i w:val="false"/>
                <w:iCs w:val="false"/>
                <w:sz w:val="19"/>
                <w:szCs w:val="19"/>
              </w:rPr>
              <w:t xml:space="preserve">automatically</w:t>
            </w:r>
          </w:p>
        </w:tc>
        <w:tc>
          <w:tcPr>
            <w:tcW w:type="dxa" w:w="6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Recording without a positive act by the user cannot be reconciled with clause 16.3 or with the consent requirements of the relevant State.</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Browser extensions that read page content</w:t>
            </w:r>
          </w:p>
        </w:tc>
        <w:tc>
          <w:tcPr>
            <w:tcW w:type="dxa" w:w="6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They transmit whatever is on screen, including another client's material and material from another member's matter, and the data path cannot be established.</w:t>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Any shared tool that pools members' material,</w:t>
            </w:r>
          </w:p>
          <w:p>
            <w:pPr>
              <w:spacing w:after="0" w:line="240"/>
            </w:pPr>
            <w:r>
              <w:rPr>
                <w:rFonts w:ascii="Calibri" w:cs="Calibri" w:eastAsia="Calibri" w:hAnsi="Calibri"/>
                <w:b w:val="false"/>
                <w:bCs w:val="false"/>
                <w:i w:val="false"/>
                <w:iCs w:val="false"/>
                <w:sz w:val="19"/>
                <w:szCs w:val="19"/>
              </w:rPr>
              <w:t xml:space="preserve">retains a shared history or builds a shared index</w:t>
            </w:r>
          </w:p>
        </w:tc>
        <w:tc>
          <w:tcPr>
            <w:tcW w:type="dxa" w:w="6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It is capable of putting a member in possession of information confidential to another person in a case, which engages the rules requiring a brief to be refused or returned. See clause 19.3.</w:t>
            </w:r>
          </w:p>
        </w:tc>
      </w:tr>
    </w:tbl>
    <w:p>
      <w:pPr>
        <w:spacing w:after="200"/>
      </w:pPr>
      <w:r>
        <w:rPr>
          <w:rFonts w:ascii="Calibri" w:cs="Calibri" w:eastAsia="Calibri" w:hAnsi="Calibri"/>
          <w:b w:val="false"/>
          <w:bCs w:val="false"/>
          <w:i w:val="false"/>
          <w:iCs w:val="false"/>
          <w:sz w:val="21"/>
          <w:szCs w:val="21"/>
        </w:rPr>
        <w:t xml:space="preserve"/>
      </w:r>
    </w:p>
    <w:p>
      <w:pPr>
        <w:pStyle w:val="Heading2"/>
        <w:spacing w:after="100" w:before="240"/>
      </w:pPr>
      <w:r>
        <w:rPr>
          <w:rFonts w:ascii="Calibri" w:cs="Calibri" w:eastAsia="Calibri" w:hAnsi="Calibri"/>
          <w:b/>
          <w:bCs/>
          <w:i w:val="false"/>
          <w:iCs w:val="false"/>
          <w:color w:val="000000"/>
          <w:sz w:val="21"/>
          <w:szCs w:val="21"/>
        </w:rPr>
        <w:t xml:space="preserve">Part E  Evidence required for each entry in Part A</w:t>
      </w:r>
    </w:p>
    <w:p>
      <w:pPr>
        <w:spacing w:after="160" w:line="240"/>
        <w:ind w:left="680"/>
        <w:jc w:val="both"/>
      </w:pPr>
      <w:r>
        <w:rPr>
          <w:rFonts w:ascii="Calibri" w:cs="Calibri" w:eastAsia="Calibri" w:hAnsi="Calibri"/>
          <w:b w:val="false"/>
          <w:bCs w:val="false"/>
          <w:i w:val="false"/>
          <w:iCs w:val="false"/>
          <w:sz w:val="21"/>
          <w:szCs w:val="21"/>
        </w:rPr>
        <w:t xml:space="preserve">The terms of service as at the date of the assessment, and the dated record of the decision to use. The term recording that inputs and outputs are not used to train any model. The rights the supplier takes over inputs, and confirmation that nothing in the terms operates as a waiver of confidentiality or privilege. The retention period and the setting that establishes it. The supplier's written statement of where data is processed and stored. Confirmation that the barrister's material is separated from that of every other user and, for a shared tool, from that of every other member. The record of what was sent that the barrister can obtain, or a note of its absence. Whether each control is enforced by the account, by managed policy or by contract, rather than by a setting the user can change.</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9  Chambers annex</w:t>
      </w:r>
    </w:p>
    <w:p>
      <w:pPr>
        <w:spacing w:after="200" w:line="240"/>
        <w:ind w:left="340" w:right="340"/>
        <w:jc w:val="both"/>
      </w:pPr>
      <w:r>
        <w:rPr>
          <w:rFonts w:ascii="Calibri" w:cs="Calibri" w:eastAsia="Calibri" w:hAnsi="Calibri"/>
          <w:b w:val="false"/>
          <w:bCs w:val="false"/>
          <w:i/>
          <w:iCs/>
          <w:color w:val="595959"/>
          <w:sz w:val="19"/>
          <w:szCs w:val="19"/>
        </w:rPr>
        <w:t xml:space="preserve">Adopted by the members at floor level. It governs shared facilities only. It does not bind any member's practice, and each member adopts the balance of this protocol personally.</w:t>
      </w:r>
    </w:p>
    <w:p>
      <w:pPr>
        <w:spacing w:after="160" w:line="240"/>
        <w:ind w:left="680"/>
        <w:jc w:val="both"/>
      </w:pPr>
      <w:r>
        <w:rPr>
          <w:rFonts w:ascii="Calibri" w:cs="Calibri" w:eastAsia="Calibri" w:hAnsi="Calibri"/>
          <w:b w:val="false"/>
          <w:bCs w:val="false"/>
          <w:i w:val="false"/>
          <w:iCs w:val="false"/>
          <w:sz w:val="21"/>
          <w:szCs w:val="21"/>
        </w:rPr>
        <w:t xml:space="preserve">The members appoint [a member or the clerk] as nominated barrister for the purposes of clause 19.2.</w:t>
      </w:r>
    </w:p>
    <w:p>
      <w:pPr>
        <w:spacing w:after="160" w:line="240"/>
        <w:ind w:left="680"/>
        <w:jc w:val="both"/>
      </w:pPr>
      <w:r>
        <w:rPr>
          <w:rFonts w:ascii="Calibri" w:cs="Calibri" w:eastAsia="Calibri" w:hAnsi="Calibri"/>
          <w:b w:val="false"/>
          <w:bCs w:val="false"/>
          <w:i w:val="false"/>
          <w:iCs w:val="false"/>
          <w:sz w:val="21"/>
          <w:szCs w:val="21"/>
        </w:rPr>
        <w:t xml:space="preserve">A tool is not adopted for shared use until the nominated barrister has recorded the matters at clause 7.4 and, in particular, has established that each member's material is separated from every other member's in storage, in retrieval, in any memory or personalisation feature, and in any administrative or analytics view.</w:t>
      </w:r>
    </w:p>
    <w:p>
      <w:pPr>
        <w:spacing w:after="160" w:line="240"/>
        <w:ind w:left="680"/>
        <w:jc w:val="both"/>
      </w:pPr>
      <w:r>
        <w:rPr>
          <w:rFonts w:ascii="Calibri" w:cs="Calibri" w:eastAsia="Calibri" w:hAnsi="Calibri"/>
          <w:b w:val="false"/>
          <w:bCs w:val="false"/>
          <w:i w:val="false"/>
          <w:iCs w:val="false"/>
          <w:sz w:val="21"/>
          <w:szCs w:val="21"/>
        </w:rPr>
        <w:t xml:space="preserve">The following are not permitted on any shared system: a shared prompt or session history visible to more than one member; a shared index, vector store or memory built from brief material; an administrative view that exposes the content of a member's prompts or documents; and any configuration in which a chambers document store, scanner, printer or backup is indexed by a tool available to other members.</w:t>
      </w:r>
    </w:p>
    <w:p>
      <w:pPr>
        <w:spacing w:after="160" w:line="240"/>
        <w:ind w:left="680"/>
        <w:jc w:val="both"/>
      </w:pPr>
      <w:r>
        <w:rPr>
          <w:rFonts w:ascii="Calibri" w:cs="Calibri" w:eastAsia="Calibri" w:hAnsi="Calibri"/>
          <w:b w:val="false"/>
          <w:bCs w:val="false"/>
          <w:i w:val="false"/>
          <w:iCs w:val="false"/>
          <w:sz w:val="21"/>
          <w:szCs w:val="21"/>
        </w:rPr>
        <w:t xml:space="preserve">The clerk must not enter the content of any brief into a tool. Any tool used for listing, scheduling or fee administration is assessed on the footing that it will hold information about who is briefed in what, and is recorded in the register accordingly.</w:t>
      </w:r>
    </w:p>
    <w:p>
      <w:pPr>
        <w:spacing w:after="160" w:line="240"/>
        <w:ind w:left="680"/>
        <w:jc w:val="both"/>
      </w:pPr>
      <w:r>
        <w:rPr>
          <w:rFonts w:ascii="Calibri" w:cs="Calibri" w:eastAsia="Calibri" w:hAnsi="Calibri"/>
          <w:b w:val="false"/>
          <w:bCs w:val="false"/>
          <w:i w:val="false"/>
          <w:iCs w:val="false"/>
          <w:sz w:val="21"/>
          <w:szCs w:val="21"/>
        </w:rPr>
        <w:t xml:space="preserve">The nominated barrister brings any change in a supplier's terms to the members' attention promptly, and records the date on which the change took effect.</w:t>
      </w:r>
    </w:p>
    <w:p>
      <w:pPr>
        <w:spacing w:after="160" w:line="240"/>
        <w:ind w:left="680"/>
        <w:jc w:val="both"/>
      </w:pPr>
      <w:r>
        <w:rPr>
          <w:rFonts w:ascii="Calibri" w:cs="Calibri" w:eastAsia="Calibri" w:hAnsi="Calibri"/>
          <w:b w:val="false"/>
          <w:bCs w:val="false"/>
          <w:i w:val="false"/>
          <w:iCs w:val="false"/>
          <w:sz w:val="21"/>
          <w:szCs w:val="21"/>
        </w:rPr>
        <w:t xml:space="preserve">Where there is reason to think a shared tool has exposed one member's material to another, the nominated barrister informs every member affected on the same day, so that each can consider their position under the Rules concerning briefs and confidential information.</w:t>
      </w:r>
    </w:p>
    <w:p>
      <w:pPr>
        <w:spacing w:after="160" w:line="240"/>
        <w:ind w:left="680"/>
        <w:jc w:val="both"/>
      </w:pPr>
      <w:r>
        <w:rPr>
          <w:rFonts w:ascii="Calibri" w:cs="Calibri" w:eastAsia="Calibri" w:hAnsi="Calibri"/>
          <w:b w:val="false"/>
          <w:bCs w:val="false"/>
          <w:i w:val="false"/>
          <w:iCs w:val="false"/>
          <w:sz w:val="21"/>
          <w:szCs w:val="21"/>
        </w:rPr>
        <w:t xml:space="preserve">Adoption of a tool under this annex does not oblige any member to use it and does not constitute any assessment or satisfaction required of a member personally.</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10  Quick reference</w:t>
      </w:r>
    </w:p>
    <w:p>
      <w:pPr>
        <w:spacing w:after="200" w:line="240"/>
        <w:ind w:left="340" w:right="340"/>
        <w:jc w:val="both"/>
      </w:pPr>
      <w:r>
        <w:rPr>
          <w:rFonts w:ascii="Calibri" w:cs="Calibri" w:eastAsia="Calibri" w:hAnsi="Calibri"/>
          <w:b w:val="false"/>
          <w:bCs w:val="false"/>
          <w:i/>
          <w:iCs/>
          <w:color w:val="595959"/>
          <w:sz w:val="19"/>
          <w:szCs w:val="19"/>
        </w:rPr>
        <w:t xml:space="preserve">A summary for daily use. It does not replace the protocol.</w:t>
      </w:r>
    </w:p>
    <w:p>
      <w:pPr>
        <w:spacing w:after="160" w:line="240"/>
        <w:ind w:left="680"/>
        <w:jc w:val="both"/>
      </w:pPr>
      <w:r>
        <w:rPr>
          <w:rFonts w:ascii="Calibri" w:cs="Calibri" w:eastAsia="Calibri" w:hAnsi="Calibri"/>
          <w:b w:val="false"/>
          <w:bCs w:val="false"/>
          <w:i w:val="false"/>
          <w:iCs w:val="false"/>
          <w:sz w:val="21"/>
          <w:szCs w:val="21"/>
        </w:rPr>
        <w:t xml:space="preserve">Use only a tool in your register, through your own account. Never a personal or free account on a brief.</w:t>
      </w:r>
    </w:p>
    <w:p>
      <w:pPr>
        <w:spacing w:after="160" w:line="240"/>
        <w:ind w:left="680"/>
        <w:jc w:val="both"/>
      </w:pPr>
      <w:r>
        <w:rPr>
          <w:rFonts w:ascii="Calibri" w:cs="Calibri" w:eastAsia="Calibri" w:hAnsi="Calibri"/>
          <w:b w:val="false"/>
          <w:bCs w:val="false"/>
          <w:i w:val="false"/>
          <w:iCs w:val="false"/>
          <w:sz w:val="21"/>
          <w:szCs w:val="21"/>
        </w:rPr>
        <w:t xml:space="preserve">The confidentiality carve-out that lets you show a brief to your instructing solicitor, your staff, a reader or a devil does not extend to a software supplier. Get the client's consent through the instructing solicitor before a tool touches the brief, and record it.</w:t>
      </w:r>
    </w:p>
    <w:p>
      <w:pPr>
        <w:spacing w:after="160" w:line="240"/>
        <w:ind w:left="680"/>
        <w:jc w:val="both"/>
      </w:pPr>
      <w:r>
        <w:rPr>
          <w:rFonts w:ascii="Calibri" w:cs="Calibri" w:eastAsia="Calibri" w:hAnsi="Calibri"/>
          <w:b w:val="false"/>
          <w:bCs w:val="false"/>
          <w:i w:val="false"/>
          <w:iCs w:val="false"/>
          <w:sz w:val="21"/>
          <w:szCs w:val="21"/>
        </w:rPr>
        <w:t xml:space="preserve">Do not release anything under your name that you cannot explain and support on your feet without the tool.</w:t>
      </w:r>
    </w:p>
    <w:p>
      <w:pPr>
        <w:spacing w:after="160" w:line="240"/>
        <w:ind w:left="680"/>
        <w:jc w:val="both"/>
      </w:pPr>
      <w:r>
        <w:rPr>
          <w:rFonts w:ascii="Calibri" w:cs="Calibri" w:eastAsia="Calibri" w:hAnsi="Calibri"/>
          <w:b w:val="false"/>
          <w:bCs w:val="false"/>
          <w:i w:val="false"/>
          <w:iCs w:val="false"/>
          <w:sz w:val="21"/>
          <w:szCs w:val="21"/>
        </w:rPr>
        <w:t xml:space="preserve">Open the judgment and the section and read them yourself. Asking the tool to confirm its own citation is not verification, and neither is asking a second tool.</w:t>
      </w:r>
    </w:p>
    <w:p>
      <w:pPr>
        <w:spacing w:after="160" w:line="240"/>
        <w:ind w:left="680"/>
        <w:jc w:val="both"/>
      </w:pPr>
      <w:r>
        <w:rPr>
          <w:rFonts w:ascii="Calibri" w:cs="Calibri" w:eastAsia="Calibri" w:hAnsi="Calibri"/>
          <w:b w:val="false"/>
          <w:bCs w:val="false"/>
          <w:i w:val="false"/>
          <w:iCs w:val="false"/>
          <w:sz w:val="21"/>
          <w:szCs w:val="21"/>
        </w:rPr>
        <w:t xml:space="preserve">Search for the authority against your client's case deliberately. A tool will give you support if you ask for support, and your duty to the court is not discharged by that.</w:t>
      </w:r>
    </w:p>
    <w:p>
      <w:pPr>
        <w:spacing w:after="160" w:line="240"/>
        <w:ind w:left="680"/>
        <w:jc w:val="both"/>
      </w:pPr>
      <w:r>
        <w:rPr>
          <w:rFonts w:ascii="Calibri" w:cs="Calibri" w:eastAsia="Calibri" w:hAnsi="Calibri"/>
          <w:b w:val="false"/>
          <w:bCs w:val="false"/>
          <w:i w:val="false"/>
          <w:iCs w:val="false"/>
          <w:sz w:val="21"/>
          <w:szCs w:val="21"/>
        </w:rPr>
        <w:t xml:space="preserve">Never write the words of an affidavit or a witness statement with a tool, and never use one to reword a witness's evidence. If you settle it, you are alleging it.</w:t>
      </w:r>
    </w:p>
    <w:p>
      <w:pPr>
        <w:spacing w:after="160" w:line="240"/>
        <w:ind w:left="680"/>
        <w:jc w:val="both"/>
      </w:pPr>
      <w:r>
        <w:rPr>
          <w:rFonts w:ascii="Calibri" w:cs="Calibri" w:eastAsia="Calibri" w:hAnsi="Calibri"/>
          <w:b w:val="false"/>
          <w:bCs w:val="false"/>
          <w:i w:val="false"/>
          <w:iCs w:val="false"/>
          <w:sz w:val="21"/>
          <w:szCs w:val="21"/>
        </w:rPr>
        <w:t xml:space="preserve">Subpoenaed material, discovery from the other side, anything under a suppression order, and anything about children: stop, and complete the approval yourself before anything is entered.</w:t>
      </w:r>
    </w:p>
    <w:p>
      <w:pPr>
        <w:spacing w:after="160" w:line="240"/>
        <w:ind w:left="680"/>
        <w:jc w:val="both"/>
      </w:pPr>
      <w:r>
        <w:rPr>
          <w:rFonts w:ascii="Calibri" w:cs="Calibri" w:eastAsia="Calibri" w:hAnsi="Calibri"/>
          <w:b w:val="false"/>
          <w:bCs w:val="false"/>
          <w:i w:val="false"/>
          <w:iCs w:val="false"/>
          <w:sz w:val="21"/>
          <w:szCs w:val="21"/>
        </w:rPr>
        <w:t xml:space="preserve">Keep the prompts, the choices and the output on the brief. You may be asked which parts a tool produced and how you checked them.</w:t>
      </w:r>
    </w:p>
    <w:p>
      <w:pPr>
        <w:spacing w:after="160" w:line="240"/>
        <w:ind w:left="680"/>
        <w:jc w:val="both"/>
      </w:pPr>
      <w:r>
        <w:rPr>
          <w:rFonts w:ascii="Calibri" w:cs="Calibri" w:eastAsia="Calibri" w:hAnsi="Calibri"/>
          <w:b w:val="false"/>
          <w:bCs w:val="false"/>
          <w:i w:val="false"/>
          <w:iCs w:val="false"/>
          <w:sz w:val="21"/>
          <w:szCs w:val="21"/>
        </w:rPr>
        <w:t xml:space="preserve">Charge the time you spent, not the time the task used to take.</w:t>
      </w:r>
    </w:p>
    <w:p>
      <w:pPr>
        <w:spacing w:after="160" w:line="240"/>
        <w:ind w:left="680"/>
        <w:jc w:val="both"/>
      </w:pPr>
      <w:r>
        <w:rPr>
          <w:rFonts w:ascii="Calibri" w:cs="Calibri" w:eastAsia="Calibri" w:hAnsi="Calibri"/>
          <w:b w:val="false"/>
          <w:bCs w:val="false"/>
          <w:i w:val="false"/>
          <w:iCs w:val="false"/>
          <w:sz w:val="21"/>
          <w:szCs w:val="21"/>
        </w:rPr>
        <w:t xml:space="preserve">Nothing on a shared chambers system may let another member reach your brief material. If you think it has, say so the same day.</w:t>
      </w:r>
    </w:p>
    <w:p>
      <w:r>
        <w:br w:type="page"/>
      </w:r>
    </w:p>
    <w:p>
      <w:pPr>
        <w:pStyle w:val="Heading1"/>
        <w:pBdr>
          <w:bottom w:val="single" w:color="404040" w:sz="8" w:space="5"/>
        </w:pBdr>
        <w:spacing w:after="150" w:before="340"/>
      </w:pPr>
      <w:r>
        <w:rPr>
          <w:rFonts w:ascii="Calibri" w:cs="Calibri" w:eastAsia="Calibri" w:hAnsi="Calibri"/>
          <w:b/>
          <w:bCs/>
          <w:i w:val="false"/>
          <w:iCs w:val="false"/>
          <w:color w:val="000000"/>
          <w:sz w:val="24"/>
          <w:szCs w:val="24"/>
        </w:rPr>
        <w:t xml:space="preserve">Schedule 11  Acknowledgment</w:t>
      </w:r>
    </w:p>
    <w:p>
      <w:pPr>
        <w:spacing w:after="200" w:line="240"/>
        <w:ind w:left="340" w:right="340"/>
        <w:jc w:val="both"/>
      </w:pPr>
      <w:r>
        <w:rPr>
          <w:rFonts w:ascii="Calibri" w:cs="Calibri" w:eastAsia="Calibri" w:hAnsi="Calibri"/>
          <w:b w:val="false"/>
          <w:bCs w:val="false"/>
          <w:i/>
          <w:iCs/>
          <w:color w:val="595959"/>
          <w:sz w:val="19"/>
          <w:szCs w:val="19"/>
        </w:rPr>
        <w:t xml:space="preserve">For a reader, a devilling barrister, a clerk or a member of staff.</w:t>
      </w:r>
    </w:p>
    <w:p>
      <w:pPr>
        <w:spacing w:after="160" w:line="240"/>
        <w:ind w:left="680"/>
        <w:jc w:val="both"/>
      </w:pPr>
      <w:r>
        <w:rPr>
          <w:rFonts w:ascii="Calibri" w:cs="Calibri" w:eastAsia="Calibri" w:hAnsi="Calibri"/>
          <w:b w:val="false"/>
          <w:bCs w:val="false"/>
          <w:i w:val="false"/>
          <w:iCs w:val="false"/>
          <w:sz w:val="21"/>
          <w:szCs w:val="21"/>
        </w:rPr>
        <w:t xml:space="preserve">I have read the Protocol on the Use of Artificial Intelligence in Barristers' Practice. I understand that it applies to my use of artificial intelligence on any brief to which I have access, whether on a chambers device or my own. I understand that I am bound by the same duties of confidentiality as the barrister whose brief it is. I agree to comply with the protocol, to use no tool on a brief unless the barrister has told me I may, and to report a suspected breach to that barrister on the day I become aware of it.</w:t>
      </w:r>
    </w:p>
    <w:p>
      <w:pPr>
        <w:spacing w:after="360"/>
      </w:pPr>
      <w:r>
        <w:rPr>
          <w:rFonts w:ascii="Calibri" w:cs="Calibri" w:eastAsia="Calibri" w:hAnsi="Calibri"/>
          <w:b w:val="false"/>
          <w:bCs w:val="false"/>
          <w:i w:val="false"/>
          <w:iCs w:val="false"/>
          <w:sz w:val="21"/>
          <w:szCs w:val="21"/>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cantSplit/>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Name</w:t>
            </w:r>
          </w:p>
        </w:tc>
        <w:tc>
          <w:tcPr>
            <w:tcW w:type="dxa" w:w="6200"/>
            <w:tcBorders>
              <w:top w:val="single" w:color="BFBFBF" w:sz="4"/>
              <w:left w:val="single" w:color="BFBFBF" w:sz="4"/>
              <w:bottom w:val="single" w:color="BFBFBF" w:sz="4"/>
              <w:right w:val="single" w:color="BFBFBF" w:sz="4"/>
            </w:tcBorders>
            <w:shd w:fill="F2F2F2" w:color="auto" w:val="clear"/>
            <w:tcMar>
              <w:top w:type="dxa" w:w="80"/>
              <w:left w:type="dxa" w:w="110"/>
              <w:bottom w:type="dxa" w:w="80"/>
              <w:right w:type="dxa" w:w="110"/>
            </w:tcMar>
          </w:tcPr>
          <w:p>
            <w:pPr>
              <w:spacing w:after="0" w:line="240"/>
            </w:pPr>
            <w:r>
              <w:rPr>
                <w:rFonts w:ascii="Calibri" w:cs="Calibri" w:eastAsia="Calibri" w:hAnsi="Calibri"/>
                <w:b/>
                <w:bCs/>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Position</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Signature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r>
        <w:trPr>
          <w:tblHeader w:val="false"/>
          <w:cantSplit/>
        </w:trPr>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Date</w:t>
            </w:r>
          </w:p>
        </w:tc>
        <w:tc>
          <w:tcPr>
            <w:tcW w:type="dxa" w:w="6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40"/>
            </w:pPr>
            <w:r>
              <w:rPr>
                <w:rFonts w:ascii="Calibri" w:cs="Calibri" w:eastAsia="Calibri" w:hAnsi="Calibri"/>
                <w:b w:val="false"/>
                <w:bCs w:val="false"/>
                <w:i w:val="false"/>
                <w:iCs w:val="false"/>
                <w:sz w:val="19"/>
                <w:szCs w:val="19"/>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4040" w:sz="6" w:space="6"/>
      </w:pBdr>
      <w:jc w:val="right"/>
    </w:pPr>
    <w:r>
      <w:rPr>
        <w:rFonts w:ascii="Calibri" w:cs="Calibri" w:eastAsia="Calibri" w:hAnsi="Calibri"/>
        <w:color w:val="595959"/>
        <w:sz w:val="17"/>
        <w:szCs w:val="17"/>
      </w:rPr>
      <w:t xml:space="preserve">Protocol on the Use of Artificial Intelligence in Barristers' Practice   |   Version 1.0   |   Page </w:t>
    </w:r>
    <w:r>
      <w:rPr>
        <w:rFonts w:ascii="Calibri" w:cs="Calibri" w:eastAsia="Calibri" w:hAnsi="Calibri"/>
        <w:color w:val="595959"/>
        <w:sz w:val="17"/>
        <w:szCs w:val="17"/>
      </w:rPr>
      <w:fldChar w:fldCharType="begin"/>
      <w:instrText xml:space="preserve">PAGE</w:instrText>
      <w:fldChar w:fldCharType="separate"/>
      <w:fldChar w:fldCharType="end"/>
    </w:r>
    <w:r>
      <w:rPr>
        <w:rFonts w:ascii="Calibri" w:cs="Calibri" w:eastAsia="Calibri" w:hAnsi="Calibri"/>
        <w:color w:val="595959"/>
        <w:sz w:val="17"/>
        <w:szCs w:val="17"/>
      </w:rPr>
      <w:t xml:space="preserve"> of </w:t>
    </w:r>
    <w:r>
      <w:rPr>
        <w:rFonts w:ascii="Calibri" w:cs="Calibri" w:eastAsia="Calibri" w:hAnsi="Calibri"/>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2026-07-29T08:06:18.135Z</dcterms:created>
  <dcterms:modified xsi:type="dcterms:W3CDTF">2026-07-29T08:06:18.135Z</dcterms:modified>
</cp:coreProperties>
</file>

<file path=docProps/custom.xml><?xml version="1.0" encoding="utf-8"?>
<Properties xmlns="http://schemas.openxmlformats.org/officeDocument/2006/custom-properties" xmlns:vt="http://schemas.openxmlformats.org/officeDocument/2006/docPropsVTypes"/>
</file>