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olor w:val="000000"/>
          <w:sz w:val="28"/>
          <w:szCs w:val="28"/>
        </w:rPr>
        <w:t xml:space="preserve">Policy on the Use of Artificial Intelligence in Legal Practice</w:t>
      </w:r>
    </w:p>
    <w:p>
      <w:pPr>
        <w:pBdr>
          <w:bottom w:val="single" w:color="404040" w:sz="12" w:space="8"/>
        </w:pBdr>
        <w:spacing w:after="260"/>
      </w:pPr>
      <w:r>
        <w:rPr>
          <w:rFonts w:ascii="Calibri" w:cs="Calibri" w:eastAsia="Calibri" w:hAnsi="Calibri"/>
          <w:b w:val="false"/>
          <w:bCs w:val="false"/>
          <w:i w:val="false"/>
          <w:iCs w:val="false"/>
          <w:color w:val="595959"/>
          <w:sz w:val="21"/>
          <w:szCs w:val="21"/>
        </w:rPr>
        <w:t xml:space="preserve">A template for Australian legal practices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1300"/>
        <w:gridCol w:w="2200"/>
      </w:tblGrid>
      <w:tr>
        <w:trPr>
          <w:tblHeade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Field</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Detail</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Version</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History</w:t>
            </w:r>
          </w:p>
        </w:tc>
      </w:tr>
      <w:tr>
        <w:trPr>
          <w:tblHeader w:val="false"/>
          <w:cantSplit/>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Policy owner</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[Name or position]</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1.0</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 Adopted</w:t>
            </w:r>
          </w:p>
        </w:tc>
      </w:tr>
      <w:tr>
        <w:trPr>
          <w:tblHeader w:val="false"/>
          <w:cantSplit/>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Approved by</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[Principals or board]</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Effective from</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Next review</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 not later than 12 months]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Applies to</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All personnel and contractors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bl>
    <w:p>
      <w:pPr>
        <w:spacing w:after="240"/>
      </w:pPr>
      <w:r>
        <w:rPr>
          <w:rFonts w:ascii="Calibri" w:cs="Calibri" w:eastAsia="Calibri" w:hAnsi="Calibri"/>
          <w:b w:val="false"/>
          <w:bCs w:val="false"/>
          <w:i w:val="false"/>
          <w:iCs w:val="false"/>
          <w:sz w:val="21"/>
          <w:szCs w:val="21"/>
        </w:rPr>
        <w:t xml:space="preserve"/>
      </w:r>
    </w:p>
    <w:p>
      <w:pPr>
        <w:spacing w:after="200" w:line="240"/>
        <w:ind w:left="340" w:right="340"/>
        <w:jc w:val="both"/>
      </w:pPr>
      <w:r>
        <w:rPr>
          <w:rFonts w:ascii="Calibri" w:cs="Calibri" w:eastAsia="Calibri" w:hAnsi="Calibri"/>
          <w:b w:val="false"/>
          <w:bCs w:val="false"/>
          <w:i/>
          <w:iCs/>
          <w:color w:val="595959"/>
          <w:sz w:val="19"/>
          <w:szCs w:val="19"/>
        </w:rPr>
        <w:t xml:space="preserve">This is a template. Fields in square brackets must be completed, and every clause should be reviewed against the practice's own structure, practice areas, jurisdictions and insurance arrangements before adoption. Clause 6 and Schedule 1 do not operate until the practice has decided which tools it approves. Schedule 5 must be completed with the instruments in force in each jurisdiction in which the practice appears. Clause 9 states the verification standard and is the clause most often departed from in practice.</w:t>
      </w:r>
    </w:p>
    <w:p>
      <w:pPr>
        <w:pageBreakBefore/>
        <w:spacing w:after="140" w:before="200"/>
      </w:pPr>
      <w:r>
        <w:rPr>
          <w:rFonts w:ascii="Calibri" w:cs="Calibri" w:eastAsia="Calibri" w:hAnsi="Calibri"/>
          <w:b/>
          <w:bCs/>
          <w:i w:val="false"/>
          <w:iCs w:val="false"/>
          <w:color w:val="000000"/>
          <w:sz w:val="24"/>
          <w:szCs w:val="24"/>
        </w:rPr>
        <w:t xml:space="preserve">Contents</w:t>
      </w:r>
    </w:p>
    <w:p>
      <w:pPr>
        <w:spacing w:after="40"/>
        <w:ind w:left="340"/>
      </w:pPr>
      <w:r>
        <w:rPr>
          <w:rFonts w:ascii="Calibri" w:cs="Calibri" w:eastAsia="Calibri" w:hAnsi="Calibri"/>
          <w:b w:val="false"/>
          <w:bCs w:val="false"/>
          <w:i w:val="false"/>
          <w:iCs w:val="false"/>
          <w:sz w:val="20"/>
          <w:szCs w:val="20"/>
        </w:rPr>
        <w:t xml:space="preserve">1  Purpose</w:t>
      </w:r>
    </w:p>
    <w:p>
      <w:pPr>
        <w:spacing w:after="40"/>
        <w:ind w:left="340"/>
      </w:pPr>
      <w:r>
        <w:rPr>
          <w:rFonts w:ascii="Calibri" w:cs="Calibri" w:eastAsia="Calibri" w:hAnsi="Calibri"/>
          <w:b w:val="false"/>
          <w:bCs w:val="false"/>
          <w:i w:val="false"/>
          <w:iCs w:val="false"/>
          <w:sz w:val="20"/>
          <w:szCs w:val="20"/>
        </w:rPr>
        <w:t xml:space="preserve">2  Application</w:t>
      </w:r>
    </w:p>
    <w:p>
      <w:pPr>
        <w:spacing w:after="40"/>
        <w:ind w:left="340"/>
      </w:pPr>
      <w:r>
        <w:rPr>
          <w:rFonts w:ascii="Calibri" w:cs="Calibri" w:eastAsia="Calibri" w:hAnsi="Calibri"/>
          <w:b w:val="false"/>
          <w:bCs w:val="false"/>
          <w:i w:val="false"/>
          <w:iCs w:val="false"/>
          <w:sz w:val="20"/>
          <w:szCs w:val="20"/>
        </w:rPr>
        <w:t xml:space="preserve">3  Definitions</w:t>
      </w:r>
    </w:p>
    <w:p>
      <w:pPr>
        <w:spacing w:after="40"/>
        <w:ind w:left="340"/>
      </w:pPr>
      <w:r>
        <w:rPr>
          <w:rFonts w:ascii="Calibri" w:cs="Calibri" w:eastAsia="Calibri" w:hAnsi="Calibri"/>
          <w:b w:val="false"/>
          <w:bCs w:val="false"/>
          <w:i w:val="false"/>
          <w:iCs w:val="false"/>
          <w:sz w:val="20"/>
          <w:szCs w:val="20"/>
        </w:rPr>
        <w:t xml:space="preserve">4  The obligations this policy serves</w:t>
      </w:r>
    </w:p>
    <w:p>
      <w:pPr>
        <w:spacing w:after="40"/>
        <w:ind w:left="340"/>
      </w:pPr>
      <w:r>
        <w:rPr>
          <w:rFonts w:ascii="Calibri" w:cs="Calibri" w:eastAsia="Calibri" w:hAnsi="Calibri"/>
          <w:b w:val="false"/>
          <w:bCs w:val="false"/>
          <w:i w:val="false"/>
          <w:iCs w:val="false"/>
          <w:sz w:val="20"/>
          <w:szCs w:val="20"/>
        </w:rPr>
        <w:t xml:space="preserve">5  Suitability</w:t>
      </w:r>
    </w:p>
    <w:p>
      <w:pPr>
        <w:spacing w:after="40"/>
        <w:ind w:left="340"/>
      </w:pPr>
      <w:r>
        <w:rPr>
          <w:rFonts w:ascii="Calibri" w:cs="Calibri" w:eastAsia="Calibri" w:hAnsi="Calibri"/>
          <w:b w:val="false"/>
          <w:bCs w:val="false"/>
          <w:i w:val="false"/>
          <w:iCs w:val="false"/>
          <w:sz w:val="20"/>
          <w:szCs w:val="20"/>
        </w:rPr>
        <w:t xml:space="preserve">6  Approved tools</w:t>
      </w:r>
    </w:p>
    <w:p>
      <w:pPr>
        <w:spacing w:after="40"/>
        <w:ind w:left="340"/>
      </w:pPr>
      <w:r>
        <w:rPr>
          <w:rFonts w:ascii="Calibri" w:cs="Calibri" w:eastAsia="Calibri" w:hAnsi="Calibri"/>
          <w:b w:val="false"/>
          <w:bCs w:val="false"/>
          <w:i w:val="false"/>
          <w:iCs w:val="false"/>
          <w:sz w:val="20"/>
          <w:szCs w:val="20"/>
        </w:rPr>
        <w:t xml:space="preserve">7  Prohibited uses</w:t>
      </w:r>
    </w:p>
    <w:p>
      <w:pPr>
        <w:spacing w:after="40"/>
        <w:ind w:left="340"/>
      </w:pPr>
      <w:r>
        <w:rPr>
          <w:rFonts w:ascii="Calibri" w:cs="Calibri" w:eastAsia="Calibri" w:hAnsi="Calibri"/>
          <w:b w:val="false"/>
          <w:bCs w:val="false"/>
          <w:i w:val="false"/>
          <w:iCs w:val="false"/>
          <w:sz w:val="20"/>
          <w:szCs w:val="20"/>
        </w:rPr>
        <w:t xml:space="preserve">8  Restricted information</w:t>
      </w:r>
    </w:p>
    <w:p>
      <w:pPr>
        <w:spacing w:after="40"/>
        <w:ind w:left="340"/>
      </w:pPr>
      <w:r>
        <w:rPr>
          <w:rFonts w:ascii="Calibri" w:cs="Calibri" w:eastAsia="Calibri" w:hAnsi="Calibri"/>
          <w:b w:val="false"/>
          <w:bCs w:val="false"/>
          <w:i w:val="false"/>
          <w:iCs w:val="false"/>
          <w:sz w:val="20"/>
          <w:szCs w:val="20"/>
        </w:rPr>
        <w:t xml:space="preserve">9  Verification</w:t>
      </w:r>
    </w:p>
    <w:p>
      <w:pPr>
        <w:spacing w:after="40"/>
        <w:ind w:left="340"/>
      </w:pPr>
      <w:r>
        <w:rPr>
          <w:rFonts w:ascii="Calibri" w:cs="Calibri" w:eastAsia="Calibri" w:hAnsi="Calibri"/>
          <w:b w:val="false"/>
          <w:bCs w:val="false"/>
          <w:i w:val="false"/>
          <w:iCs w:val="false"/>
          <w:sz w:val="20"/>
          <w:szCs w:val="20"/>
        </w:rPr>
        <w:t xml:space="preserve">10  Disclosure to courts and tribunals</w:t>
      </w:r>
    </w:p>
    <w:p>
      <w:pPr>
        <w:spacing w:after="40"/>
        <w:ind w:left="340"/>
      </w:pPr>
      <w:r>
        <w:rPr>
          <w:rFonts w:ascii="Calibri" w:cs="Calibri" w:eastAsia="Calibri" w:hAnsi="Calibri"/>
          <w:b w:val="false"/>
          <w:bCs w:val="false"/>
          <w:i w:val="false"/>
          <w:iCs w:val="false"/>
          <w:sz w:val="20"/>
          <w:szCs w:val="20"/>
        </w:rPr>
        <w:t xml:space="preserve">11  Experts and counsel</w:t>
      </w:r>
    </w:p>
    <w:p>
      <w:pPr>
        <w:spacing w:after="40"/>
        <w:ind w:left="340"/>
      </w:pPr>
      <w:r>
        <w:rPr>
          <w:rFonts w:ascii="Calibri" w:cs="Calibri" w:eastAsia="Calibri" w:hAnsi="Calibri"/>
          <w:b w:val="false"/>
          <w:bCs w:val="false"/>
          <w:i w:val="false"/>
          <w:iCs w:val="false"/>
          <w:sz w:val="20"/>
          <w:szCs w:val="20"/>
        </w:rPr>
        <w:t xml:space="preserve">12  Clients</w:t>
      </w:r>
    </w:p>
    <w:p>
      <w:pPr>
        <w:spacing w:after="40"/>
        <w:ind w:left="340"/>
      </w:pPr>
      <w:r>
        <w:rPr>
          <w:rFonts w:ascii="Calibri" w:cs="Calibri" w:eastAsia="Calibri" w:hAnsi="Calibri"/>
          <w:b w:val="false"/>
          <w:bCs w:val="false"/>
          <w:i w:val="false"/>
          <w:iCs w:val="false"/>
          <w:sz w:val="20"/>
          <w:szCs w:val="20"/>
        </w:rPr>
        <w:t xml:space="preserve">13  Supervision</w:t>
      </w:r>
    </w:p>
    <w:p>
      <w:pPr>
        <w:spacing w:after="40"/>
        <w:ind w:left="340"/>
      </w:pPr>
      <w:r>
        <w:rPr>
          <w:rFonts w:ascii="Calibri" w:cs="Calibri" w:eastAsia="Calibri" w:hAnsi="Calibri"/>
          <w:b w:val="false"/>
          <w:bCs w:val="false"/>
          <w:i w:val="false"/>
          <w:iCs w:val="false"/>
          <w:sz w:val="20"/>
          <w:szCs w:val="20"/>
        </w:rPr>
        <w:t xml:space="preserve">14  Costs</w:t>
      </w:r>
    </w:p>
    <w:p>
      <w:pPr>
        <w:spacing w:after="40"/>
        <w:ind w:left="340"/>
      </w:pPr>
      <w:r>
        <w:rPr>
          <w:rFonts w:ascii="Calibri" w:cs="Calibri" w:eastAsia="Calibri" w:hAnsi="Calibri"/>
          <w:b w:val="false"/>
          <w:bCs w:val="false"/>
          <w:i w:val="false"/>
          <w:iCs w:val="false"/>
          <w:sz w:val="20"/>
          <w:szCs w:val="20"/>
        </w:rPr>
        <w:t xml:space="preserve">15  Recording, transcription and note-taking</w:t>
      </w:r>
    </w:p>
    <w:p>
      <w:pPr>
        <w:spacing w:after="40"/>
        <w:ind w:left="340"/>
      </w:pPr>
      <w:r>
        <w:rPr>
          <w:rFonts w:ascii="Calibri" w:cs="Calibri" w:eastAsia="Calibri" w:hAnsi="Calibri"/>
          <w:b w:val="false"/>
          <w:bCs w:val="false"/>
          <w:i w:val="false"/>
          <w:iCs w:val="false"/>
          <w:sz w:val="20"/>
          <w:szCs w:val="20"/>
        </w:rPr>
        <w:t xml:space="preserve">16  Privacy and information security</w:t>
      </w:r>
    </w:p>
    <w:p>
      <w:pPr>
        <w:spacing w:after="40"/>
        <w:ind w:left="340"/>
      </w:pPr>
      <w:r>
        <w:rPr>
          <w:rFonts w:ascii="Calibri" w:cs="Calibri" w:eastAsia="Calibri" w:hAnsi="Calibri"/>
          <w:b w:val="false"/>
          <w:bCs w:val="false"/>
          <w:i w:val="false"/>
          <w:iCs w:val="false"/>
          <w:sz w:val="20"/>
          <w:szCs w:val="20"/>
        </w:rPr>
        <w:t xml:space="preserve">17  Records</w:t>
      </w:r>
    </w:p>
    <w:p>
      <w:pPr>
        <w:spacing w:after="40"/>
        <w:ind w:left="340"/>
      </w:pPr>
      <w:r>
        <w:rPr>
          <w:rFonts w:ascii="Calibri" w:cs="Calibri" w:eastAsia="Calibri" w:hAnsi="Calibri"/>
          <w:b w:val="false"/>
          <w:bCs w:val="false"/>
          <w:i w:val="false"/>
          <w:iCs w:val="false"/>
          <w:sz w:val="20"/>
          <w:szCs w:val="20"/>
        </w:rPr>
        <w:t xml:space="preserve">18  Training</w:t>
      </w:r>
    </w:p>
    <w:p>
      <w:pPr>
        <w:spacing w:after="40"/>
        <w:ind w:left="340"/>
      </w:pPr>
      <w:r>
        <w:rPr>
          <w:rFonts w:ascii="Calibri" w:cs="Calibri" w:eastAsia="Calibri" w:hAnsi="Calibri"/>
          <w:b w:val="false"/>
          <w:bCs w:val="false"/>
          <w:i w:val="false"/>
          <w:iCs w:val="false"/>
          <w:sz w:val="20"/>
          <w:szCs w:val="20"/>
        </w:rPr>
        <w:t xml:space="preserve">19  Responsibility</w:t>
      </w:r>
    </w:p>
    <w:p>
      <w:pPr>
        <w:spacing w:after="40"/>
        <w:ind w:left="340"/>
      </w:pPr>
      <w:r>
        <w:rPr>
          <w:rFonts w:ascii="Calibri" w:cs="Calibri" w:eastAsia="Calibri" w:hAnsi="Calibri"/>
          <w:b w:val="false"/>
          <w:bCs w:val="false"/>
          <w:i w:val="false"/>
          <w:iCs w:val="false"/>
          <w:sz w:val="20"/>
          <w:szCs w:val="20"/>
        </w:rPr>
        <w:t xml:space="preserve">20  Incidents</w:t>
      </w:r>
    </w:p>
    <w:p>
      <w:pPr>
        <w:spacing w:after="40"/>
        <w:ind w:left="340"/>
      </w:pPr>
      <w:r>
        <w:rPr>
          <w:rFonts w:ascii="Calibri" w:cs="Calibri" w:eastAsia="Calibri" w:hAnsi="Calibri"/>
          <w:b w:val="false"/>
          <w:bCs w:val="false"/>
          <w:i w:val="false"/>
          <w:iCs w:val="false"/>
          <w:sz w:val="20"/>
          <w:szCs w:val="20"/>
        </w:rPr>
        <w:t xml:space="preserve">21  Compliance and consequences</w:t>
      </w:r>
    </w:p>
    <w:p>
      <w:pPr>
        <w:spacing w:after="40"/>
        <w:ind w:left="340"/>
      </w:pPr>
      <w:r>
        <w:rPr>
          <w:rFonts w:ascii="Calibri" w:cs="Calibri" w:eastAsia="Calibri" w:hAnsi="Calibri"/>
          <w:b w:val="false"/>
          <w:bCs w:val="false"/>
          <w:i w:val="false"/>
          <w:iCs w:val="false"/>
          <w:sz w:val="20"/>
          <w:szCs w:val="20"/>
        </w:rPr>
        <w:t xml:space="preserve">22  Exceptions and review</w:t>
      </w:r>
    </w:p>
    <w:p>
      <w:pPr>
        <w:spacing w:after="40"/>
        <w:ind w:left="340"/>
      </w:pPr>
      <w:r>
        <w:rPr>
          <w:rFonts w:ascii="Calibri" w:cs="Calibri" w:eastAsia="Calibri" w:hAnsi="Calibri"/>
          <w:b w:val="false"/>
          <w:bCs w:val="false"/>
          <w:i w:val="false"/>
          <w:iCs w:val="false"/>
          <w:sz w:val="20"/>
          <w:szCs w:val="20"/>
        </w:rPr>
        <w:t xml:space="preserve">Schedule 1  Approved Tools Register</w:t>
      </w:r>
    </w:p>
    <w:p>
      <w:pPr>
        <w:spacing w:after="40"/>
        <w:ind w:left="340"/>
      </w:pPr>
      <w:r>
        <w:rPr>
          <w:rFonts w:ascii="Calibri" w:cs="Calibri" w:eastAsia="Calibri" w:hAnsi="Calibri"/>
          <w:b w:val="false"/>
          <w:bCs w:val="false"/>
          <w:i w:val="false"/>
          <w:iCs w:val="false"/>
          <w:sz w:val="20"/>
          <w:szCs w:val="20"/>
        </w:rPr>
        <w:t xml:space="preserve">Schedule 2  AI Use Record</w:t>
      </w:r>
    </w:p>
    <w:p>
      <w:pPr>
        <w:spacing w:after="40"/>
        <w:ind w:left="340"/>
      </w:pPr>
      <w:r>
        <w:rPr>
          <w:rFonts w:ascii="Calibri" w:cs="Calibri" w:eastAsia="Calibri" w:hAnsi="Calibri"/>
          <w:b w:val="false"/>
          <w:bCs w:val="false"/>
          <w:i w:val="false"/>
          <w:iCs w:val="false"/>
          <w:sz w:val="20"/>
          <w:szCs w:val="20"/>
        </w:rPr>
        <w:t xml:space="preserve">Schedule 3  Standard wordings</w:t>
      </w:r>
    </w:p>
    <w:p>
      <w:pPr>
        <w:spacing w:after="40"/>
        <w:ind w:left="340"/>
      </w:pPr>
      <w:r>
        <w:rPr>
          <w:rFonts w:ascii="Calibri" w:cs="Calibri" w:eastAsia="Calibri" w:hAnsi="Calibri"/>
          <w:b w:val="false"/>
          <w:bCs w:val="false"/>
          <w:i w:val="false"/>
          <w:iCs w:val="false"/>
          <w:sz w:val="20"/>
          <w:szCs w:val="20"/>
        </w:rPr>
        <w:t xml:space="preserve">Schedule 4  Restricted information approval</w:t>
      </w:r>
    </w:p>
    <w:p>
      <w:pPr>
        <w:spacing w:after="40"/>
        <w:ind w:left="340"/>
      </w:pPr>
      <w:r>
        <w:rPr>
          <w:rFonts w:ascii="Calibri" w:cs="Calibri" w:eastAsia="Calibri" w:hAnsi="Calibri"/>
          <w:b w:val="false"/>
          <w:bCs w:val="false"/>
          <w:i w:val="false"/>
          <w:iCs w:val="false"/>
          <w:sz w:val="20"/>
          <w:szCs w:val="20"/>
        </w:rPr>
        <w:t xml:space="preserve">Schedule 5  Court and tribunal instruments</w:t>
      </w:r>
    </w:p>
    <w:p>
      <w:pPr>
        <w:spacing w:after="40"/>
        <w:ind w:left="340"/>
      </w:pPr>
      <w:r>
        <w:rPr>
          <w:rFonts w:ascii="Calibri" w:cs="Calibri" w:eastAsia="Calibri" w:hAnsi="Calibri"/>
          <w:b w:val="false"/>
          <w:bCs w:val="false"/>
          <w:i w:val="false"/>
          <w:iCs w:val="false"/>
          <w:sz w:val="20"/>
          <w:szCs w:val="20"/>
        </w:rPr>
        <w:t xml:space="preserve">Schedule 6  Suitability path</w:t>
      </w:r>
    </w:p>
    <w:p>
      <w:pPr>
        <w:spacing w:after="40"/>
        <w:ind w:left="340"/>
      </w:pPr>
      <w:r>
        <w:rPr>
          <w:rFonts w:ascii="Calibri" w:cs="Calibri" w:eastAsia="Calibri" w:hAnsi="Calibri"/>
          <w:b w:val="false"/>
          <w:bCs w:val="false"/>
          <w:i w:val="false"/>
          <w:iCs w:val="false"/>
          <w:sz w:val="20"/>
          <w:szCs w:val="20"/>
        </w:rPr>
        <w:t xml:space="preserve">Schedule 7  Indicators of unverified or undisclosed use</w:t>
      </w:r>
    </w:p>
    <w:p>
      <w:pPr>
        <w:spacing w:after="40"/>
        <w:ind w:left="340"/>
      </w:pPr>
      <w:r>
        <w:rPr>
          <w:rFonts w:ascii="Calibri" w:cs="Calibri" w:eastAsia="Calibri" w:hAnsi="Calibri"/>
          <w:b w:val="false"/>
          <w:bCs w:val="false"/>
          <w:i w:val="false"/>
          <w:iCs w:val="false"/>
          <w:sz w:val="20"/>
          <w:szCs w:val="20"/>
        </w:rPr>
        <w:t xml:space="preserve">Schedule 8  Application settings</w:t>
      </w:r>
    </w:p>
    <w:p>
      <w:pPr>
        <w:spacing w:after="40"/>
        <w:ind w:left="340"/>
      </w:pPr>
      <w:r>
        <w:rPr>
          <w:rFonts w:ascii="Calibri" w:cs="Calibri" w:eastAsia="Calibri" w:hAnsi="Calibri"/>
          <w:b w:val="false"/>
          <w:bCs w:val="false"/>
          <w:i w:val="false"/>
          <w:iCs w:val="false"/>
          <w:sz w:val="20"/>
          <w:szCs w:val="20"/>
        </w:rPr>
        <w:t xml:space="preserve">Schedule 9  Quick reference</w:t>
      </w:r>
    </w:p>
    <w:p>
      <w:pPr>
        <w:spacing w:after="40"/>
        <w:ind w:left="340"/>
      </w:pPr>
      <w:r>
        <w:rPr>
          <w:rFonts w:ascii="Calibri" w:cs="Calibri" w:eastAsia="Calibri" w:hAnsi="Calibri"/>
          <w:b w:val="false"/>
          <w:bCs w:val="false"/>
          <w:i w:val="false"/>
          <w:iCs w:val="false"/>
          <w:sz w:val="20"/>
          <w:szCs w:val="20"/>
        </w:rPr>
        <w:t xml:space="preserve">Schedule 10  Acknowledgment</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  Purpose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policy governs the use of artificial intelligence by [Firm] and states what is permitted, what is prohibited, and what must be recorded. It is directed at four risks: the disclosure of client information to a third party without authority, the presentation of inaccurate material to a court or a client, charging a client for work that was not done, and the loss of the practice's ability to show what was done and why.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Artificial intelligence is a tool. Its use does not alter, qualify or reduce any duty owed to a client, to a court or to the practice. Every obligation that applies to work produced by hand applies to work produced with assistance.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client is entitled to expect that the work done for them is the practice's own work, reflecting the practitioner's experience, knowledge and judgment. Artificial intelligence supplements that work. It does not substitute for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policy replaces any earlier policy of the practice concerning ChatGPT, generative artificial intelligence or artificial intelligence generally.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copy of this policy is provided to any client who requests it.</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2  Application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policy applies to every principal, partner, director, employed solicitor, paralegal, law graduate, student, administrative employee, contractor, consultant, locum and volunteer of the practice, and to any person given access to the practice's systems or files.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It applies to all use of artificial intelligence connected with the practice, whether on a practice device or a personal device, whether during or outside working hours, and whether the work is billable. It applies to systems developed by or for the practice and to systems procured from a supplier or obtained from an open-source project, whether used as a whole system or as a component of, or modification to, another system.</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Personal use of an unapproved tool is permitted for matters unconnected with the practice. When using such a tool, no client information, confidential information, personal information or material proprietary to the practice may be entered, and the output must not be incorporated into or relied on in any work of the practice without the approval of a supervisor.</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the practice instructs counsel, an expert, a costs consultant, a process server, an agent or another supplier, the person giving the instruction must bring the relevant requirements of this policy and of the instruments at Schedule 5 to that person's attention. See clauses 11 and 12.</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3  Definitions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3.1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 this policy the following definitions apply. They follow the definitions used by the courts, so that the policy and the instruments at Schedule 5 speak the same language.</w:t>
      </w:r>
    </w:p>
    <w:p>
      <w:pPr>
        <w:spacing w:after="140" w:line="240"/>
        <w:ind w:left="680"/>
        <w:jc w:val="both"/>
      </w:pPr>
      <w:r>
        <w:rPr>
          <w:rFonts w:ascii="Calibri" w:cs="Calibri" w:eastAsia="Calibri" w:hAnsi="Calibri"/>
          <w:b/>
          <w:bCs/>
          <w:i w:val="false"/>
          <w:iCs w:val="false"/>
          <w:sz w:val="21"/>
          <w:szCs w:val="21"/>
        </w:rPr>
        <w:t xml:space="preserve">AI </w:t>
      </w:r>
      <w:r>
        <w:rPr>
          <w:rFonts w:ascii="Calibri" w:cs="Calibri" w:eastAsia="Calibri" w:hAnsi="Calibri"/>
          <w:b w:val="false"/>
          <w:bCs w:val="false"/>
          <w:i w:val="false"/>
          <w:iCs w:val="false"/>
          <w:sz w:val="21"/>
          <w:szCs w:val="21"/>
        </w:rPr>
        <w:t xml:space="preserve">means a machine-based system that, for explicit or implicit objectives, infers from the input it receives how to generate outputs such as predictions, content, recommendations or decisions that can influence physical or virtual environments. Systems vary in their autonomy and adaptiveness after deployment. AI is an umbrella term that includes generative AI, public AI and closed AI.</w:t>
      </w:r>
    </w:p>
    <w:p>
      <w:pPr>
        <w:spacing w:after="140" w:line="240"/>
        <w:ind w:left="680"/>
        <w:jc w:val="both"/>
      </w:pPr>
      <w:r>
        <w:rPr>
          <w:rFonts w:ascii="Calibri" w:cs="Calibri" w:eastAsia="Calibri" w:hAnsi="Calibri"/>
          <w:b/>
          <w:bCs/>
          <w:i w:val="false"/>
          <w:iCs w:val="false"/>
          <w:sz w:val="21"/>
          <w:szCs w:val="21"/>
        </w:rPr>
        <w:t xml:space="preserve">generative AI </w:t>
      </w:r>
      <w:r>
        <w:rPr>
          <w:rFonts w:ascii="Calibri" w:cs="Calibri" w:eastAsia="Calibri" w:hAnsi="Calibri"/>
          <w:b w:val="false"/>
          <w:bCs w:val="false"/>
          <w:i w:val="false"/>
          <w:iCs w:val="false"/>
          <w:sz w:val="21"/>
          <w:szCs w:val="21"/>
        </w:rPr>
        <w:t xml:space="preserve">means a system that generates content as text, images, music, audio, video, code or structured data based on a user's prompts.</w:t>
      </w:r>
    </w:p>
    <w:p>
      <w:pPr>
        <w:spacing w:after="140" w:line="240"/>
        <w:ind w:left="680"/>
        <w:jc w:val="both"/>
      </w:pPr>
      <w:r>
        <w:rPr>
          <w:rFonts w:ascii="Calibri" w:cs="Calibri" w:eastAsia="Calibri" w:hAnsi="Calibri"/>
          <w:b/>
          <w:bCs/>
          <w:i w:val="false"/>
          <w:iCs w:val="false"/>
          <w:sz w:val="21"/>
          <w:szCs w:val="21"/>
        </w:rPr>
        <w:t xml:space="preserve">public AI </w:t>
      </w:r>
      <w:r>
        <w:rPr>
          <w:rFonts w:ascii="Calibri" w:cs="Calibri" w:eastAsia="Calibri" w:hAnsi="Calibri"/>
          <w:b w:val="false"/>
          <w:bCs w:val="false"/>
          <w:i w:val="false"/>
          <w:iCs w:val="false"/>
          <w:sz w:val="21"/>
          <w:szCs w:val="21"/>
        </w:rPr>
        <w:t xml:space="preserve">means a tool openly accessible to the public, typically over the internet, trained on broad and often public datasets, most commonly for general purpose use. It includes free and personal-subscription accounts of otherwise commercial products, tools embedded in consumer software, and any tool whose terms permit the supplier to use inputs to train a model.</w:t>
      </w:r>
    </w:p>
    <w:p>
      <w:pPr>
        <w:spacing w:after="140" w:line="240"/>
        <w:ind w:left="680"/>
        <w:jc w:val="both"/>
      </w:pPr>
      <w:r>
        <w:rPr>
          <w:rFonts w:ascii="Calibri" w:cs="Calibri" w:eastAsia="Calibri" w:hAnsi="Calibri"/>
          <w:b/>
          <w:bCs/>
          <w:i w:val="false"/>
          <w:iCs w:val="false"/>
          <w:sz w:val="21"/>
          <w:szCs w:val="21"/>
        </w:rPr>
        <w:t xml:space="preserve">closed AI </w:t>
      </w:r>
      <w:r>
        <w:rPr>
          <w:rFonts w:ascii="Calibri" w:cs="Calibri" w:eastAsia="Calibri" w:hAnsi="Calibri"/>
          <w:b w:val="false"/>
          <w:bCs w:val="false"/>
          <w:i w:val="false"/>
          <w:iCs w:val="false"/>
          <w:sz w:val="21"/>
          <w:szCs w:val="21"/>
        </w:rPr>
        <w:t xml:space="preserve">means a tool that is not openly accessible to the public, where information used in the tool remains within a controlled environment and there are controls or settings that protect information from being made publicly available or used to train the tool.</w:t>
      </w:r>
    </w:p>
    <w:p>
      <w:pPr>
        <w:spacing w:after="140" w:line="240"/>
        <w:ind w:left="680"/>
        <w:jc w:val="both"/>
      </w:pPr>
      <w:r>
        <w:rPr>
          <w:rFonts w:ascii="Calibri" w:cs="Calibri" w:eastAsia="Calibri" w:hAnsi="Calibri"/>
          <w:b/>
          <w:bCs/>
          <w:i w:val="false"/>
          <w:iCs w:val="false"/>
          <w:sz w:val="21"/>
          <w:szCs w:val="21"/>
        </w:rPr>
        <w:t xml:space="preserve">approved tool </w:t>
      </w:r>
      <w:r>
        <w:rPr>
          <w:rFonts w:ascii="Calibri" w:cs="Calibri" w:eastAsia="Calibri" w:hAnsi="Calibri"/>
          <w:b w:val="false"/>
          <w:bCs w:val="false"/>
          <w:i w:val="false"/>
          <w:iCs w:val="false"/>
          <w:sz w:val="21"/>
          <w:szCs w:val="21"/>
        </w:rPr>
        <w:t xml:space="preserve">means a closed AI tool listed in the Approved Tools Register at Schedule 1, used through the account or tenancy recorded there, in the configuration recorded there, and for the purposes recorded there.</w:t>
      </w:r>
    </w:p>
    <w:p>
      <w:pPr>
        <w:spacing w:after="160" w:line="240"/>
        <w:ind w:left="680"/>
        <w:jc w:val="both"/>
      </w:pPr>
      <w:r>
        <w:rPr>
          <w:rFonts w:ascii="Calibri" w:cs="Calibri" w:eastAsia="Calibri" w:hAnsi="Calibri"/>
          <w:b w:val="false"/>
          <w:bCs w:val="false"/>
          <w:i w:val="false"/>
          <w:iCs w:val="false"/>
          <w:sz w:val="21"/>
          <w:szCs w:val="21"/>
        </w:rPr>
        <w:t xml:space="preserve">A tool does not become an approved tool because a supplier describes it as secure, private, ringfenced, enterprise or closed. That description is a claim to be tested under clause 6, not a conclusion.</w:t>
      </w:r>
    </w:p>
    <w:p>
      <w:pPr>
        <w:spacing w:after="140" w:line="240"/>
        <w:ind w:left="680"/>
        <w:jc w:val="both"/>
      </w:pPr>
      <w:r>
        <w:rPr>
          <w:rFonts w:ascii="Calibri" w:cs="Calibri" w:eastAsia="Calibri" w:hAnsi="Calibri"/>
          <w:b/>
          <w:bCs/>
          <w:i w:val="false"/>
          <w:iCs w:val="false"/>
          <w:sz w:val="21"/>
          <w:szCs w:val="21"/>
        </w:rPr>
        <w:t xml:space="preserve">client information </w:t>
      </w:r>
      <w:r>
        <w:rPr>
          <w:rFonts w:ascii="Calibri" w:cs="Calibri" w:eastAsia="Calibri" w:hAnsi="Calibri"/>
          <w:b w:val="false"/>
          <w:bCs w:val="false"/>
          <w:i w:val="false"/>
          <w:iCs w:val="false"/>
          <w:sz w:val="21"/>
          <w:szCs w:val="21"/>
        </w:rPr>
        <w:t xml:space="preserve">means any information about a client, a client's matter or a client's affairs acquired in the course of an engagement, whether or not it identifies the client, and includes documents produced by or to the client.</w:t>
      </w:r>
    </w:p>
    <w:p>
      <w:pPr>
        <w:spacing w:after="140" w:line="240"/>
        <w:ind w:left="680"/>
        <w:jc w:val="both"/>
      </w:pPr>
      <w:r>
        <w:rPr>
          <w:rFonts w:ascii="Calibri" w:cs="Calibri" w:eastAsia="Calibri" w:hAnsi="Calibri"/>
          <w:b/>
          <w:bCs/>
          <w:i w:val="false"/>
          <w:iCs w:val="false"/>
          <w:sz w:val="21"/>
          <w:szCs w:val="21"/>
        </w:rPr>
        <w:t xml:space="preserve">restricted information </w:t>
      </w:r>
      <w:r>
        <w:rPr>
          <w:rFonts w:ascii="Calibri" w:cs="Calibri" w:eastAsia="Calibri" w:hAnsi="Calibri"/>
          <w:b w:val="false"/>
          <w:bCs w:val="false"/>
          <w:i w:val="false"/>
          <w:iCs w:val="false"/>
          <w:sz w:val="21"/>
          <w:szCs w:val="21"/>
        </w:rPr>
        <w:t xml:space="preserve">means client information or other material falling within any of the categories in clause 8.2. Restricted information may only be used with an approval under clause 8.</w:t>
      </w:r>
    </w:p>
    <w:p>
      <w:pPr>
        <w:spacing w:after="140" w:line="240"/>
        <w:ind w:left="680"/>
        <w:jc w:val="both"/>
      </w:pPr>
      <w:r>
        <w:rPr>
          <w:rFonts w:ascii="Calibri" w:cs="Calibri" w:eastAsia="Calibri" w:hAnsi="Calibri"/>
          <w:b/>
          <w:bCs/>
          <w:i w:val="false"/>
          <w:iCs w:val="false"/>
          <w:sz w:val="21"/>
          <w:szCs w:val="21"/>
        </w:rPr>
        <w:t xml:space="preserve">court document </w:t>
      </w:r>
      <w:r>
        <w:rPr>
          <w:rFonts w:ascii="Calibri" w:cs="Calibri" w:eastAsia="Calibri" w:hAnsi="Calibri"/>
          <w:b w:val="false"/>
          <w:bCs w:val="false"/>
          <w:i w:val="false"/>
          <w:iCs w:val="false"/>
          <w:sz w:val="21"/>
          <w:szCs w:val="21"/>
        </w:rPr>
        <w:t xml:space="preserve">means any document filed with or provided to a court or tribunal, including a pleading, a written submission, an affidavit, a witness statement and an expert report.</w:t>
      </w:r>
    </w:p>
    <w:p>
      <w:pPr>
        <w:spacing w:after="140" w:line="240"/>
        <w:ind w:left="680"/>
        <w:jc w:val="both"/>
      </w:pPr>
      <w:r>
        <w:rPr>
          <w:rFonts w:ascii="Calibri" w:cs="Calibri" w:eastAsia="Calibri" w:hAnsi="Calibri"/>
          <w:b/>
          <w:bCs/>
          <w:i w:val="false"/>
          <w:iCs w:val="false"/>
          <w:sz w:val="21"/>
          <w:szCs w:val="21"/>
        </w:rPr>
        <w:t xml:space="preserve">AI Officer </w:t>
      </w:r>
      <w:r>
        <w:rPr>
          <w:rFonts w:ascii="Calibri" w:cs="Calibri" w:eastAsia="Calibri" w:hAnsi="Calibri"/>
          <w:b w:val="false"/>
          <w:bCs w:val="false"/>
          <w:i w:val="false"/>
          <w:iCs w:val="false"/>
          <w:sz w:val="21"/>
          <w:szCs w:val="21"/>
        </w:rPr>
        <w:t xml:space="preserve">means the person appointed under clause 19.1, who may be the practice's Privacy Officer or Compliance Manager.</w:t>
      </w:r>
    </w:p>
    <w:p>
      <w:pPr>
        <w:spacing w:after="140" w:line="240"/>
        <w:ind w:left="680"/>
        <w:jc w:val="both"/>
      </w:pPr>
      <w:r>
        <w:rPr>
          <w:rFonts w:ascii="Calibri" w:cs="Calibri" w:eastAsia="Calibri" w:hAnsi="Calibri"/>
          <w:b/>
          <w:bCs/>
          <w:i w:val="false"/>
          <w:iCs w:val="false"/>
          <w:sz w:val="21"/>
          <w:szCs w:val="21"/>
        </w:rPr>
        <w:t xml:space="preserve">responsible practitioner </w:t>
      </w:r>
      <w:r>
        <w:rPr>
          <w:rFonts w:ascii="Calibri" w:cs="Calibri" w:eastAsia="Calibri" w:hAnsi="Calibri"/>
          <w:b w:val="false"/>
          <w:bCs w:val="false"/>
          <w:i w:val="false"/>
          <w:iCs w:val="false"/>
          <w:sz w:val="21"/>
          <w:szCs w:val="21"/>
        </w:rPr>
        <w:t xml:space="preserve">means the solicitor with day-to-day responsibility for the matter, and where a decision under clause 8 is required, the principal or partner with supervisory responsibility for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3.2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Functions that do not generate substantive content are outside this policy. That includes spelling and grammar correction, formatting, optical character recognition, transcription and translation, provided the tool used is not a public tool and no restricted information is involved. It also includes a search engine that returns a list of results rather than a personalised answer, and dedicated legal research software that searches across legislation, judgments and legal texts without producing a personalised textual answer to a prompt.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3.3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tool used for any function described in clause 3.2 remains subject to clause 6 where client information is provided to it. Being outside the balance of this policy does not make a tool an approved tool, and transcription, optical character recognition and translation of client material must be carried out only through a tool recorded in Schedule 1. Recording and transcription are further governed by clause 15.</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3.4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exclusion in clause 3.2 is narrow. A tool that summarises, drafts, analyses, answers a question or produces a chronology is within this policy even where it is a feature of software the practice already uses. The generation of chronologies, indexes and witness lists is treated as a permitted use rather than an excluded function.</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4  The obligations this policy serves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Confidentiality, under rule 9.1 of the Australian Solicitors' Conduct Rules. A solicitor must not disclose information confidential to a client and acquired during the engagement, except to a solicitor who is a partner, principal, director or employee of the practice, or to a barrister or an employee of, or person otherwise engaged by, the practice or an associated entity for the purposes of delivering or administering legal services in relation to that client, or as otherwise permitted. The engagement of a supplier for the purposes of the matter is not of itself a breach. Whether a particular tool falls within that description depends on its terms and configuration, which is why clause 6 restricts use to approved tools. The regulators treat the entry of client information into a public tool as akin to placing it in the public domain, likely to breach rule 9.1 and to put privilege at risk.</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Competence and diligence, under rules 4.1.2 and 4.1.3. A solicitor using a tool to prepare a document must be able and qualified to verify personally the information the document contains, and must ensure that its contents are accurate and not likely to mislead the client, the court or another party.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Independent advice, under rule 4.1.4. These tools do not reason, understand or advise. The forensic judgment exercised in advising a client is the solicitor's, and the output of a tool is not a substitute for the solicitor's own assessment and analysis of the client's needs and circumstances.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Independence, under rule 17. A solicitor must exercise independent judgment irrespective of the views expressed by any tool.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Duty to the court, under rule 19. A solicitor must not mislead or deceive a court, even inadvertently. The validity of material placed before a court must be tested by the solicitor whether or not it was produced with assistance. A solicitor must also not mislead the court or another participant in the litigation, directly or indirectly, about the nature of the work undertaken or about content produced by a tool.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Costs, under sections 172 to 174 of the Uniform Law and rule 12.2. See clause 14.</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Supervision, under rule 37 and section 34 of the Uniform Law. Principals are responsible for the legal services provided by the practice and must take reasonable steps to ensure that practitioner associates comply with their professional obligations. Supervision of AI-assisted work requires the supervisor to know which tool was used and for what, and to evaluate the accuracy and completeness of the output. A junior practitioner may lack the experience to make that evaluation, which is a reason for closer supervision rather than for reliance on the junior's review.</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4.8</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Privacy. The practice must determine whether it is an entity bound by the Australian Privacy Principles. Whatever the conclusion, the practice applies those principles to personal information handled through AI tools as a minimum standard, and complies with the notifiable data breaches scheme where it applies.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4.9</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Court and tribunal instruments. The courts and tribunals in which the practice appears impose specific requirements. Those in force are listed at Schedule 5 and prevail over this policy to the extent of any inconsistency. Practitioners must also observe the civil procedure obligations of the relevant jurisdiction, including any requirement to certify that a claim has a proper basis.</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5  Suitability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5.1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Before using an approved tool on a task, the practitioner considers whether the task is one for which a tool is suitable at all. The path at Schedule 6 records the questions to ask.</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5.2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Lower-risk tasks, where the output is readily verified, are the ordinary field of use. They include summarising or reviewing documents and transcripts, producing a chronology, index or witness list from source documents, preparing a first draft of correspondence, suggesting the structure of an argument, preparing a brief, and legal research to be checked against primary sources.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5.3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Higher-risk tasks require independent verification by a practitioner with the relevant expertise before the output is used. They include analysing an unfamiliar area of law, translating advice or a document into another language, advising on the application of law to facts, and any task where an error would not be apparent to the reviewer.</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5.4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tool must not be used to make a decision that requires professional judgment, including whether to accept an offer, whether to commence or discontinue a proceeding, whether a conflict exists, whether a person has capacity, or how to advise a client. A tool may inform such a decision. It cannot make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5.5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Output must be assessed for register as well as accuracy. These tools write with unwarranted confidence, and advice will often need qualifications and reservations added before it is fit to send.</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6  Approved tools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Client information may only be entered into an approved tool. Client information must not be entered into a public tool in any form, including a form the user considers anonymised.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Anonymisation is not a substitute for using an approved tool. In a matter of any substance the combination of facts, dates, amounts and locations required to obtain a useful answer will often identify the client or the matter to a reader who knows the field, and re-identification is outside the practice's control once the material has been sent.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tool is approved by the AI Officer, with the approval of the principals, and is then recorded in Schedule 1. Use of a tool outside the scope recorded there is a breach of this policy. A contractual arrangement with a client that restricts the use of AI overrides any approval, and that obligation is paramount.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Approval must be informed by a risk assessment addressing confidentiality and privacy, the accuracy and reliability of outputs, bias in the system, regulatory compliance, professional liability, the effect on clients, and whether the tool and the processes around it can be audited.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Before a tool is approved, the following must be established and recorded: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use case the tool is intended to serve, the output expected of it, and the benchmarks by which its performance will be measured;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the supplier does not use inputs or outputs to train its models, and that this is a term of the contract rather than a setting a user can alter;</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how prompts, queries, inputs and outputs are stored, for how long and by whom, and whether a shorter or zero retention arrangement is available;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(d)</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the data is processed and stored, and if outside Australia, what is required for the practice to satisfy Australian Privacy Principle 8 and section 16C of the Privacy Act 1988 (Cth), together with any client requirement for onshore hosting;</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(e)</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whether the practice's data is separated from that of other customers, including in any retrieval, embedding or caching layer;</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(f)</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which sub-processors receive the data and whether the retention and training position applies to each of them;</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(g)</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position on copyright, intellectual property and ownership of inputs and outputs, and what is known of the provenance of the training data, including any risk that it contains infringing, unlawful or highly offensive material;</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(h)</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what logging is available to the practice, and in particular whether the practice can later establish what was sent and when;</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(i)</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access is controlled so that only authorised users can reach the tool, and that where the tool connects to the practice's documents or systems it receives only the data it needs and nothing more;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(j)</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a written agreement is in place addressing confidentiality, security, breach notification and deletion; and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(k)</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what the tool records or retains on the local device, and whether that location sits within the practice's encryption, backup and file synchronisation arrangements.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choice exists, preference is given to a tool that presents its output so that the user can interrogate the sources or authorities on which the output is based.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tool is tested against its benchmarks before it is approved and at intervals afterwards. Approvals are reviewed at least annually and on any material change to the supplier's terms. A tool may be suspended or removed from Schedule 1 at any time.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6.8</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Personal accounts must not be used for any work of the practice, even where the underlying product is the same as an approved tool. The account determines the contractual terms, the retention period and whether inputs are used for training.</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6.9</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request to use a tool not in Schedule 1 is made to the AI Officer before the tool is used. Trials on client material are not permitted.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6.10</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setting that an individual user can change is not a control on which the practice may rely. Where a matter in clause 6.5 depends on a setting, that setting must be enforced by an administrator, by managed policy or by contract. Where enforcement of that kind is not available, the tool is not approved for use with client information.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6.11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For each approved tool the AI Officer keeps an evidence file containing the executed agreement and data processing terms, the term recording that inputs and outputs are not used for training, the retention setting in force, the supplier's statement of where data is processed and stored, the list of sub-processors, and a record of the administrator-enforced settings as they stand. That file is what establishes the satisfaction required by clause 8.3 and the reasonable steps required by clause 16.1, and a tool without it is not approved.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6.12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Schedule 8 records, for each application in use, the tier or contractual arrangement required, the settings that must be in force, whether the application may be used with restricted information, and what the evidence file must contain. Schedule 8 is maintained by the AI Officer and is reviewed quarterly, because these settings change more often than this policy does.</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7  Prohibited uses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following are prohibited without exception:</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generating the content of an affidavit, a witness statement, a character reference or any other document intended to record or reflect a person's own evidence or opinion, or material tendered in evidence or used in cross-examination;</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using a tool to alter, embellish, strengthen, dilute or otherwise rephrase a witness's evidence once it is in written form;</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entering client information into a public tool;</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(d)</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using restricted information without an approval under clause 8;</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(e)</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using a tool not recorded in Schedule 1 on any work of the practice;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(f)</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representing to a client, a court or another party that material has been verified when it has not, or misleading any of them as to the nature of the work undertaken;</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(g)</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sending, filing, serving or relying on any output that has not been verified under clause 9; and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(h)</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using an AI recording, transcription or note-taking tool during a court or tribunal hearing.</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Work that is preparatory to the drafting of a witness's evidence is not prohibited by clause 7.1(a). Preparing a chronology, an index, a list of topics or a summary of documents for the solicitor's own use is permitted. The line is that the affidavit or statement must be sworn, affirmed or finalised in a form that reflects the witness's own knowledge and the witness's own words.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A tool must not be used to draft or prepare the content of an expert report, or any part of one. This prohibition is absolute and is not cured by leave of the court. See clause 11 for an expert's own use of a tool.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applications listed in Part D of Schedule 8 must not be used for any work of the practice. An application is placed in Part D where its terms permit inputs to be used for training with no opt-out the practice can enforce, where the data is processed in a jurisdiction the practice cannot accept, where it joins or records a conversation without a positive act by the user, or where its data handling cannot be established at all.</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8  Restricted information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clause exists because the constraints on the categories below come from court orders, undertakings and statute rather than from the practice, and because a breach can amount to contempt.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Restricted information is:</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information subject to an order as to confidentiality, suppression or non-publication;</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information obtained from another party or a third person under compulsion in a proceeding, which is subject to the implied undertaking not to use it for a purpose extraneous to that proceeding without the leave of the court;</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material produced on subpoena or under a notice to produce;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(d)</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information subject to a statutory prohibition or restriction on publication or disclosure, including in proceedings concerning children;</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(e)</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privileged information, including privilege belonging to a person other than the client, and any privileged material whose use may put the privilege in issue; and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(f)</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information confidential or private to a person other than the client, where that person's consent has not been obtained.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Restricted information must not be entered into any tool, including an approved tool, unless the responsible practitioner has first been satisfied of each of the following and has recorded that satisfaction on the matter file: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the information will remain within the controlled environment of the platform being used, and that the platform is the subject of confidentiality restrictions on the supplier ensuring that the data is not made publicly available and is not used to train any large language model;</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the information is to be used only in connection with the proceeding in which it was obtained, unless otherwise required or permitted by law to be disclosed or required to be reviewed by a law enforcement agency; and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the information is not used to train the tool or any model.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matters in clause 8.3 reproduce the conditions imposed by the instrument at Schedule 5 and are to be read with it rather than as a separate standard. Satisfaction is reached by reviewing the contractual terms and the privacy and confidentiality settings actually in force, not by accepting the supplier's description of its product, and the practitioner must be able to say what establishes each of those matters.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undertaking can still be breached where the material stays within the tool but an output derived from it is later used in a different matter or for a different purpose. An approval under this clause is confined to the proceeding for which it is given and to the purpose recorded.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approval form at Schedule 4 may be used to record an approval. An approval must identify the material, the tool, the purpose and the proceeding, and must be signed by the responsible practitioner.</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the practitioner cannot be satisfied of each matter in clause 8.3, the material is not to be used with any tool. Difficulty or inconvenience in establishing those matters is a reason not to use the tool, not a reason to proceed.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8.8</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A supplier retention period is not of itself publication, and it is not training. On that construction, which follows from the text of the instrument but has not been the subject of decision, the absence of a zero retention arrangement does not prevent satisfaction under clause 8.3, and on some subscription tiers such an arrangement is not offered at all. Where it is unavailable, satisfaction rests on three things instead: the contractual term that inputs and outputs are not used to train any model and are not made publicly available, the closure of every channel that retains material for longer than the ordinary session, and the practice being able to show from its own records that material was sent, when, by whom and to which endpoint. Where the content itself must be recoverable, that record is made under clause 17 on the matter file, or by configuring the practice's telemetry to retain content, and Schedule 8 records which applies to each application. Part E of that schedule records the consequences of the tier the practice holds. This is an interpretive conclusion, not a supplier fact. The responsible principal must approve its application to the actual deployment and record that approval and its date in the tool evidence file before restricted information is used.</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9  Verification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person who signs, sends or files a document is responsible for its contents. That responsibility applies whether or not a tool was used, and it is not shared with, reduced by or transferred to the tool.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Content produced with the assistance of a tool must be verified with meaningful human control. The practitioner is responsible for ensuring that the content is current, complete, accurate and applicable to the jurisdiction, and must be alert to bias and discrimination in the output.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Before AI-assisted work is sent to a client, filed, served or relied on, the responsible practitioner must confirm:</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every case, statute, regulation, rule, practice note, textbook and article cited exists, is accurately identified as to parties, year, court and pinpoint reference, and stands for the proposition attributed to it;</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every extract and quotation is accurate and attributed to the correct source;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every authority cited is relevant to the proceeding and applicable to the jurisdiction and the facts;</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(d)</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every reference to evidence exists, is or will be in the material before the court, and is reasonably likely to be admissible;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(e)</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any statement about what the evidence establishes is a finding reasonably open on that evidence;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(f)</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facts asserted in a pleading are based on what the client reasonably considers can be proved, and that claims for relief rest on proper legal principles;</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(g)</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any chronology, index or list of documents is accurate and in the required form;</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(h)</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dates, figures, calculations, names and quotations have been checked against the source document; and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(i)</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the document has been read as a whole, proofread, and adapted to the matter rather than left in the general terms a tool produces.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Verification is carried out against a source known to be accurate. For case law that means an authorised report or AustLII, for legislation an authorised government site, and for a document on the file the document itself. Reading the judgment or the section is what discharges the obligation.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It is not verification to ask a tool whether the material it produced exists or says what it claims. One tool cannot be used to confirm the output of another. Tools will confirm that inaccurate information is accurate when asked, and a practitioner who did so and relied on the answer has been the subject of judicial criticism. Where the tool holds the original source material and displays it, the practitioner may verify the content by reading that original source within the tool.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Verification must not be carried out solely by using a tool. As a matter of practice policy, going beyond the minimum that the courts require, the checks under clause 9.3(a) to (d) must be performed by a person against the primary source in every case.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practitioner must be able to identify the specific portions of a document that were produced with the assistance of a tool, and to explain how the output was verified and by whom. A court may direct that this information be provided, and may require an assurance identifying the process of verification followed.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9.8</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Time spent verifying is part of the work. See clause 14.</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10  Disclosure to courts and tribunals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Requirements differ between courts. Schedule 5 records what applies where the practice appears, and must be checked before a document is filed. The requirements below are the practice's standing position and apply in every jurisdiction, including one in which no instrument is in force. The absence of an instrument does not reduce the duty not to mislead the court.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Written submissions and summaries of argument. Where a tool has been used in the preparation of a written submission, summary or skeleton of argument, the author must verify in the body of the document that all citations, legal and academic authority, case law and legislative references exist, are accurate and are relevant to the proceeding, and must make the same verification in relation to references to evidence, whether the evidence is in an affidavit or in transcript. The wording at Schedule 3 may be used.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Affidavits, witness statements and character references. In some jurisdictions these must contain a disclosure that generative AI was not used in generating their content, including by altering, embellishing, strengthening, diluting or rephrasing the evidence, and, subject to leave, in generating the content of an annexure or exhibit prepared by the deponent for the purposes of the evidence. Where the instrument at Schedule 5 imposes that requirement, the disclosure is required whether or not a tool was in fact used, and its absence is a defect in the document. The practice includes the disclosure as a standing practice in every jurisdiction. No disclosure is required for an annexure or exhibit that was not prepared or created for the purposes of the proceeding.</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Leave for an annexure or exhibit. In exceptional cases leave may be sought to use a tool to prepare or generate an annexure or exhibit to an affidavit, witness statement or character reference. An application for leave must identify the proposed use, the tool and its version, whether it is closed-source or open-source and whether it has privacy or confidentiality settings, and the benefit expected from the proposed use.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Evidentiary material generally. Use of a tool must be disclosed where it has been used to summarise or analyse information on which a witness relies to make a statement of fact or express an opinion, where it has produced an image, video, audio recording or other multimedia placed before the court, or where it has been used in any way that might reasonably be expected to affect the admissibility of the evidence or the use the court makes of it. Disclosure appears in the body of the document at its start and states as concisely as possible where and how the tool was used.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Readiness to answer. Every practitioner must be in a position to tell the court what tool was used, how it was used and for what purpose, whether or not disclosure was required. The record kept under clause 17 exists for that purpose.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court may require disclosure in circumstances beyond those set out above, and may make orders or give directions about the use of AI in a particular proceeding. Any such order or direction prevails.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10.8</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the practice becomes aware that a document filed or served contains material generated or affected by a tool that is inaccurate, the responsible practitioner must inform the AI Officer immediately and correct the position with the court and the other parties.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10.9</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consequences of getting this wrong fall on the individual as well as the practice. They include adverse costs orders made personally, referral to the designated local regulatory authority, and variation of a practising certificate. The Law Society of New South Wales guide to the responsible use of artificial intelligence records instances of each, including a Victorian practitioner whose practising certificate was varied, and a matter in which a junior solicitor filed a document containing largely non-existent references and the court found that the error was contributed to by a failure of supervision.</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11  Experts and counsel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leave of the court is required before a tool may be used in the preparation of an expert report, that leave must be obtained before the expert begins. An application for leave must identify the proposed use, the tool and its version, whether it is closed-source or open-source and whether it has privacy or confidentiality settings, the benefit expected, and the documents proposed to be submitted to the tool.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Letters of instruction to experts must draw attention to the requirements applying in the relevant court, state that a tool must not be used in preparing the content of the report without leave where leave is required, require the expert to tell the practice immediately if a tool has been or is proposed to be used, and identify the expert code of conduct or practice note with which the report must comply.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leave has been granted, the practice must ensure the report discloses which parts were prepared using a tool or drawing on material it produced, and which tool and version was used, and annexes a record of how the tool was used, including any prompts, default values and variables set, unless the court dispenses with that requirement. Where the use of AI is regulated by a code of practice binding on the expert, that fact must be identified and the code annexed.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 some proceedings, including professional negligence claims and work injury damages matters in New South Wales, leave to rely on a report prepared with AI assistance must be sought at the first directions hearing. The responsible practitioner must check the position at the outset of the matter rather than when the report is served.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Briefs to counsel must state whether a tool was used in preparing the brief or any document in it, and must pass on any restriction under clause 8 attaching to material in the brief.</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12  Clients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engagement documents must state the practice's position on the use of AI. The clause at Schedule 3 may be used. This policy is made available to any client who asks for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responsible practitioner must check the client's own terms before any tool is used on the matter. Some clients, particularly financial institutions, insurers and government, prohibit the use of AI, require notice, restrict the suppliers that may be used, or require that data be hosted onshore. A term of that kind binds the practice and overrides the general position in this policy.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client must be told, and the client's informed consent obtained and recorded, before: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restricted information in the client's matter is used with any tool;</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client's material is used for any purpose beyond the matter, including training, product development, precedent creation or a case study; or</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tool is used in a way the client would not reasonably expect from the engagement documents.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blanket consent buried in the engagement documents is not informed consent for the purposes of clause 12.3. Consent must be specific to the use proposed, given after the client has been told what the tool is and what the risks are, and recorded on the file.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client asks whether a tool has been used, how it was used, or how its use is reflected in costs, the answer must be complete and accurate.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Clients must be warned that if they enter their own communications with the practice, or documents relating to their matter, into a public tool, they may destroy the confidentiality on which legal professional privilege depends and may waive that privilege. The warning at Schedule 3 is included in the engagement documents.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client raises an ethical concern about the use of AI, the responsible practitioner must address it rather than defer it, and must record the outcome.</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13  Supervision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13.1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Supervision of AI-assisted work is continuous and active. A supervisor must know which tool a supervised person used and for what purpose, and must satisfy themselves that the verification required by clause 9 was actually performed.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13.2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supervised solicitor, law graduate, student or paralegal may use an approved tool only within the scope their supervisor has approved, must disclose to the supervisor that a tool was used in preparing any document, and may not make a decision under clause 8 or seek a client consent under clause 12.</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13.3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Work of a kind described in clause 5.3 is not to be reviewed only by a person who would be unable to detect an error in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13.4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indicators at Schedule 7 are the signs that undisclosed or unverified AI use may be present in a document. A supervisor who sees them must make further inquiry before the document is settled.</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14  Costs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14.1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Legal costs charged to a client must be fair and reasonable and proportionate to the work completed, and the basis on which costs will be calculated must be disclosed.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14.2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tool reduces the time a task takes, the time recorded and billed must reflect the time actually spent. The practice does not bill for time not spent, and the saving accrues to the client.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14.3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use of a tool must not increase the cost to the client above what traditional methods would have cost, whether through time spent verifying output or through time spent correcting it. Where verification or correction consumes the saving, the tool was not suitable for the task and its use should be reconsidered under clause 5.</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14.4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Any cost of an AI tool is not charged to a client as a disbursement unless the engagement documents provide for it and the costs disclosure reflects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14.5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On request, a client is to be told how the use of AI is reflected in the costs charged.</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15  Recording, transcription and note-taking</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clause applies to any tool that records, transcribes or summarises a conversation, meeting, conference or telephone call, whether it joins as a participant, runs on the device, or processes a recording afterwards. A recorded client conference is among the most sensitive material the practice holds, and the exposure is greater in the conference room than in the courtroom.</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Only a tool recorded in Part C of Schedule 8 may be used. A tool that joins a meeting, begins recording or circulates a transcript without a positive act by the user must not be installed on a practice device or connected to a practice account.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Recording must not begin until every participant has been told that the conversation is being recorded and transcribed by a tool, and has agreed. The agreement is obtained on the record at the start of the conversation and is noted on the matter file. The wording at Schedule 3 may be used.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reason for clause 15.3 is that the law of the relevant State or Territory constrains both the recording and its distribution, and the constraints differ. In New South Wales, section 7 of the Surveillance Devices Act 2007 (NSW) prohibits the use of a listening device to record a private conversation to which the practitioner is a party, unless a principal party consents or a narrow protection of lawful interests exception applies, and section 11 separately restricts communicating or publishing the recording to a person who was not a party. Uploading audio to a supplier for transcription is capable of engaging that second prohibition. In Victoria, section 6 of the Surveillance Devices Act 1999 (Vic) permits a party to record but section 11 restricts communication and publication. In Queensland, section 43 of the Invasion of Privacy Act 1971 (Qld) is to similar effect, with sections 44 and 45 restricting publication. The practitioner must identify the applicable jurisdiction before recording, and where participants are in different States, must satisfy the strictest of them.</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Recording, transcription and note-taking by any means, including an application running on a laptop or telephone connected to a hearing, is prohibited in a courtroom or court precinct and in any remote hearing. In New South Wales section 9 of the Court Security Act 2005 (NSW) makes unauthorised recording in court premises an offence, and sections 9A and 9B restrict transmission and distribution. The Federal Court and the Federal Circuit and Family Court prohibit unauthorised recording of court events. Leave of the court is required and is not to be assumed from the fact that a hearing is conducted remotely.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transcript produced by a tool is not evidence of what was said. It is a working record, it contains errors, and it must not be provided to a client, an opposing party or a court as a record of the conversation without being checked against the audio by the person who was present.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conversation concerns restricted information, clause 8 applies to the recording and to the transcript, and an approval under clause 8.3 is required before either is provided to any tool.</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16  Privacy and information security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16.1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personal information is sent to a supplier outside Australia, the practice remains accountable for the recipient's handling of it. Before any tool is approved for use with personal information, the AI Officer must record where the processing occurs and the basis on which Australian Privacy Principle 8 is satisfied.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16.2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Approved tools must be accessed only from a practice device, or a personal device that complies with the practice's device policy, using the practice's account and multi-factor authentication.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16.3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tool stores prompts, outputs or session records on the local device, that location must be identified, must sit within the practice's encryption arrangements, and must be excluded from consumer file synchronisation and backup services. A local record of client material is not a disclosure to anyone, but a synchronisation client that replicates it off the device is.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16.4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Retention settings must be configured to the shortest period consistent with the practice's record-keeping obligations. Where a supplier offers a setting that permits inputs to be used for model training, it must be off, and the AI Officer must verify periodically that it remains off.</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16.5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Documents generated with AI assistance are records of the practice and must be filed in the practice's document management system, not left in a tool, a personal folder or a chat history.</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17  Records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17.1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tool has been used on a matter in a way that requires disclosure under clause 10, or that involved restricted information under clause 8, a record must be made on the matter file. The form at Schedule 2 may be used.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17.2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record must identify the tool and version, the date, the person who used it, the purpose, the material provided to it, the specific portions of any document produced with its assistance, what was done with the output, and who verified the output and against what source.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17.3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output is used in a court document, the practice retains a record of the output itself, so that the portions produced with assistance can be identified later.</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17.4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Records under this clause are retained for the same period as the matter file. They may be subject to discovery, to a subpoena directed to the practice, and to production in a costs assessment or a complaint, and are to be prepared on that basis.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17.5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practice maintains logging of AI use at the level available from each approved tool. Where a tool cannot produce a record of what was sent to it, that limitation is recorded in Schedules 1 and 8 and taken into account when the tool is considered for use with restricted information.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17.6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The record required by this clause is the record made on the matter file. The local session cache and the practice's telemetry are operational records, are retained for shorter periods, and are not a substitute for it. Where an application is configured so that no automatic record of content is kept, that is noted in Schedule 8 against the application. Where a session transcript is copied automatically into the matter folder, it is a convenience copy held with that matter's records and does not replace the structured record required by clause 17.2. The practice must verify successful filing before relying on the copy.</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18  Training</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18.1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No person may use an approved tool on client work until they have completed the practice's induction training on this policy.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18.2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Training covers this policy, the instruments at Schedule 5, the capabilities and limitations of the tools in use, how to prompt them, how to recognise bias and inaccuracy in output, the verification requirements in clause 9, and for supervisors, how to supervise AI-assisted work.</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18.3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Training is repeated annually and on any material change to this policy or to the tools approved. New personnel, including temporary personnel, receive the policy and the training on commencement.</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19  Responsibility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19.1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practice appoints [name or position] as AI Officer. The appointment may be delegated in writing, and any delegation is recorded in the document control table at the front of this policy. The AI Officer maintains Schedules 1, 5 and 8 and the evidence files kept under clause 6.11, decides requests under clause 6.9, receives reports under clause 20, conducts the reviews under clause 21, and reports to the principals at least annually on the use of AI in the practice.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19.2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principals are responsible for the operation of this policy, for providing the resources it requires, and for ensuring that supervision arrangements account for AI-assisted work.</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19.3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Each person to whom this policy applies is responsible for their own compliance and for reporting under clause 20.</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20  Incidents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20.1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person who becomes aware of any of the following must report it to the AI Officer immediately, and in any event on the same day:</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client information entered into a public tool;</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restricted information used without an approval under clause 8;</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use of a tool not recorded in Schedule 1 on work of the practice;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(d)</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inaccurate or fabricated AI-generated material sent to a client, a court or another party, or included in the practice's work;</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(e)</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suspected security incident or unauthorised access affecting an approved tool; or</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(f)</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any use of AI that may breach this policy, whether by that person or another.</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20.2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report under clause 20.1 is not itself a disciplinary matter. Failing to report is.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20.3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On receiving a report the AI Officer must assess whether the incident involves a breach of confidentiality, an eligible data breach requiring notification, a breach of an undertaking or court order, a matter requiring correction with a court, whether it requires disclosure to the client whose information or matter is affected and, if so, by whom and when, or a matter requiring notification to the practice's professional indemnity insurer, and must act accordingly and record the assessment.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20.4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decision whether to inform the client, and what to tell them, is made by the responsible practitioner together with a principal, not by the AI Officer alone. The presumption is that the client is told. A decision not to inform the client must be recorded with the reasons for it. Clause 12.5 requires a complete and accurate answer where a client asks. This clause is why the practice does not wait to be asked.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20.5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Notification to the insurer is governed by the policy of insurance. Where an incident may give rise to a claim, the notification requirements of that policy are attended to before any communication with the client about liability.</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21  Compliance and consequences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21.1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AI Officer conducts periodic reviews of compliance, which may include reviewing matter files, tool logs and the records kept under clause 17. Where an approved tool offers monitoring or logging, the practice may use those features to review activity and audit compliance.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21.2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breach of this policy may result in disciplinary action in accordance with the practice's disciplinary procedures, up to and including termination.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21.3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breach may also expose the individual to a costs order made personally, a complaint to the designated local regulatory authority, and a finding of unsatisfactory professional conduct or professional misconduct.</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22  Exceptions and review</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22.1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An exception to this policy may be granted only by a principal, in writing, for a stated purpose and period, and must be recorded with the reasons for it. Clause 7.1 is not subject to exception.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22.2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policy is reviewed at least annually, and on any amendment to the instruments at Schedule 5, any change to the regulatory guidance on which it rests, or any incident under clause 20 that indicates a deficiency in it. The instruments at Schedule 5 are themselves under periodic review by the courts that issued them, and several have already been amended.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22.3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version history is recorded in the document control table at the front of this policy.</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1  Approved Tools Register</w:t>
      </w:r>
    </w:p>
    <w:p>
      <w:pPr>
        <w:spacing w:after="200" w:line="240"/>
        <w:ind w:left="340" w:right="340"/>
        <w:jc w:val="both"/>
      </w:pPr>
      <w:r>
        <w:rPr>
          <w:rFonts w:ascii="Calibri" w:cs="Calibri" w:eastAsia="Calibri" w:hAnsi="Calibri"/>
          <w:b w:val="false"/>
          <w:bCs w:val="false"/>
          <w:i/>
          <w:iCs/>
          <w:color w:val="595959"/>
          <w:sz w:val="19"/>
          <w:szCs w:val="19"/>
        </w:rPr>
        <w:t xml:space="preserve">No tool is approved until it appears in this table. The row below is an illustration of the level of detail required and is not an approval. The matters at clause 6.5 are to be recorded in full in the underlying assessment, which is kept with this register.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1750"/>
        <w:gridCol w:w="1500"/>
        <w:gridCol w:w="1200"/>
        <w:gridCol w:w="1400"/>
      </w:tblGrid>
      <w:tr>
        <w:trPr>
          <w:tblHeader/>
          <w:cantSplit/>
        </w:trPr>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Tool and version</w:t>
            </w:r>
          </w:p>
        </w:tc>
        <w:tc>
          <w:tcPr>
            <w:tcW w:type="dxa" w:w="14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Account or tenancy</w:t>
            </w:r>
          </w:p>
        </w:tc>
        <w:tc>
          <w:tcPr>
            <w:tcW w:type="dxa" w:w="17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Permitted uses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Data location</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Retention</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Approved / review</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[Tool name]</w:t>
            </w:r>
          </w:p>
          <w:p>
            <w:pPr>
              <w:spacing w:after="0" w:line="240"/>
            </w:pPr>
            <w:r>
              <w:rPr>
                <w:rFonts w:ascii="Calibri" w:cs="Calibri" w:eastAsia="Calibri" w:hAnsi="Calibri"/>
                <w:b w:val="false"/>
                <w:bCs w:val="false"/>
                <w:i w:val="false"/>
                <w:iCs w:val="false"/>
                <w:sz w:val="19"/>
                <w:szCs w:val="19"/>
              </w:rPr>
              <w:t xml:space="preserve">[version or plan]</w:t>
            </w:r>
          </w:p>
        </w:tc>
        <w:tc>
          <w:tcPr>
            <w:tcW w:type="dxa" w:w="1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[Practice tenancy]</w:t>
            </w:r>
          </w:p>
          <w:p>
            <w:pPr>
              <w:spacing w:after="0" w:line="240"/>
            </w:pPr>
            <w:r>
              <w:rPr>
                <w:rFonts w:ascii="Calibri" w:cs="Calibri" w:eastAsia="Calibri" w:hAnsi="Calibri"/>
                <w:b w:val="false"/>
                <w:bCs w:val="false"/>
                <w:i w:val="false"/>
                <w:iCs w:val="false"/>
                <w:sz w:val="19"/>
                <w:szCs w:val="19"/>
              </w:rPr>
              <w:t xml:space="preserve">[no personal accounts]</w:t>
            </w:r>
          </w:p>
        </w:tc>
        <w:tc>
          <w:tcPr>
            <w:tcW w:type="dxa" w:w="17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[Research, summarising, first drafts]</w:t>
            </w:r>
          </w:p>
          <w:p>
            <w:pPr>
              <w:spacing w:after="0" w:line="240"/>
            </w:pPr>
            <w:r>
              <w:rPr>
                <w:rFonts w:ascii="Calibri" w:cs="Calibri" w:eastAsia="Calibri" w:hAnsi="Calibri"/>
                <w:b w:val="false"/>
                <w:bCs w:val="false"/>
                <w:i w:val="false"/>
                <w:iCs w:val="false"/>
                <w:sz w:val="19"/>
                <w:szCs w:val="19"/>
              </w:rPr>
              <w:t xml:space="preserve">[Not approved for restricted information]</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[Country]</w:t>
            </w:r>
          </w:p>
          <w:p>
            <w:pPr>
              <w:spacing w:after="0" w:line="240"/>
            </w:pPr>
            <w:r>
              <w:rPr>
                <w:rFonts w:ascii="Calibri" w:cs="Calibri" w:eastAsia="Calibri" w:hAnsi="Calibri"/>
                <w:b w:val="false"/>
                <w:bCs w:val="false"/>
                <w:i w:val="false"/>
                <w:iCs w:val="false"/>
                <w:sz w:val="19"/>
                <w:szCs w:val="19"/>
              </w:rPr>
              <w:t xml:space="preserve">[APP 8 basis]</w:t>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[Period]</w:t>
            </w:r>
          </w:p>
          <w:p>
            <w:pPr>
              <w:spacing w:after="0" w:line="240"/>
            </w:pPr>
            <w:r>
              <w:rPr>
                <w:rFonts w:ascii="Calibri" w:cs="Calibri" w:eastAsia="Calibri" w:hAnsi="Calibri"/>
                <w:b w:val="false"/>
                <w:bCs w:val="false"/>
                <w:i w:val="false"/>
                <w:iCs w:val="false"/>
                <w:sz w:val="19"/>
                <w:szCs w:val="19"/>
              </w:rPr>
              <w:t xml:space="preserve">[training off, verified]</w:t>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w:t>
            </w:r>
          </w:p>
          <w:p>
            <w:pPr>
              <w:spacing w:after="0" w:line="240"/>
            </w:pPr>
            <w:r>
              <w:rPr>
                <w:rFonts w:ascii="Calibri" w:cs="Calibri" w:eastAsia="Calibri" w:hAnsi="Calibri"/>
                <w:b w:val="false"/>
                <w:bCs w:val="false"/>
                <w:i w:val="false"/>
                <w:iCs w:val="false"/>
                <w:sz w:val="19"/>
                <w:szCs w:val="19"/>
              </w:rPr>
              <w:t xml:space="preserve">[Review date]</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7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7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bl>
    <w:p>
      <w:pPr>
        <w:spacing w:after="200"/>
      </w:pPr>
      <w:r>
        <w:rPr>
          <w:rFonts w:ascii="Calibri" w:cs="Calibri" w:eastAsia="Calibri" w:hAnsi="Calibri"/>
          <w:b w:val="false"/>
          <w:bCs w:val="false"/>
          <w:i w:val="false"/>
          <w:iCs w:val="false"/>
          <w:sz w:val="21"/>
          <w:szCs w:val="21"/>
        </w:rPr>
        <w:t xml:space="preserve"/>
      </w:r>
    </w:p>
    <w:p>
      <w:pPr>
        <w:spacing w:after="160" w:line="240"/>
        <w:ind w:left="680"/>
        <w:jc w:val="both"/>
      </w:pPr>
      <w:r>
        <w:rPr>
          <w:rFonts w:ascii="Calibri" w:cs="Calibri" w:eastAsia="Calibri" w:hAnsi="Calibri"/>
          <w:b w:val="false"/>
          <w:bCs w:val="false"/>
          <w:i w:val="false"/>
          <w:iCs w:val="false"/>
          <w:sz w:val="21"/>
          <w:szCs w:val="21"/>
        </w:rPr>
        <w:t xml:space="preserve">A tool may be recorded as not approved for use with restricted information under clause 8 while remaining approved for other purposes. Where that is the case it must be stated in the permitted uses column.</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2  AI Use Record</w:t>
      </w:r>
    </w:p>
    <w:p>
      <w:pPr>
        <w:spacing w:after="200" w:line="240"/>
        <w:ind w:left="340" w:right="340"/>
        <w:jc w:val="both"/>
      </w:pPr>
      <w:r>
        <w:rPr>
          <w:rFonts w:ascii="Calibri" w:cs="Calibri" w:eastAsia="Calibri" w:hAnsi="Calibri"/>
          <w:b w:val="false"/>
          <w:bCs w:val="false"/>
          <w:i/>
          <w:iCs/>
          <w:color w:val="595959"/>
          <w:sz w:val="19"/>
          <w:szCs w:val="19"/>
        </w:rPr>
        <w:t xml:space="preserve">To be completed and placed on the matter file where clause 17.1 applies.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Item</w:t>
            </w:r>
          </w:p>
        </w:tc>
        <w:tc>
          <w:tcPr>
            <w:tcW w:type="dxa" w:w="6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Detail</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Matter and client</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 of use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Person who used the tool</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Tool and version</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Purpose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Material provided to the tool</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Use made of the output</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Specific portions of any document</w:t>
            </w:r>
          </w:p>
          <w:p>
            <w:pPr>
              <w:spacing w:after="0" w:line="240"/>
            </w:pPr>
            <w:r>
              <w:rPr>
                <w:rFonts w:ascii="Calibri" w:cs="Calibri" w:eastAsia="Calibri" w:hAnsi="Calibri"/>
                <w:b w:val="false"/>
                <w:bCs w:val="false"/>
                <w:i w:val="false"/>
                <w:iCs w:val="false"/>
                <w:sz w:val="19"/>
                <w:szCs w:val="19"/>
              </w:rPr>
              <w:t xml:space="preserve">produced with assistance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Verified by, and against what source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 of verification</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Disclosure made to the court, if any</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Clause 8 approval reference, if any</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bl>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3  Standard wordings</w:t>
      </w:r>
    </w:p>
    <w:p>
      <w:pPr>
        <w:spacing w:after="200" w:line="240"/>
        <w:ind w:left="340" w:right="340"/>
        <w:jc w:val="both"/>
      </w:pPr>
      <w:r>
        <w:rPr>
          <w:rFonts w:ascii="Calibri" w:cs="Calibri" w:eastAsia="Calibri" w:hAnsi="Calibri"/>
          <w:b w:val="false"/>
          <w:bCs w:val="false"/>
          <w:i/>
          <w:iCs/>
          <w:color w:val="595959"/>
          <w:sz w:val="19"/>
          <w:szCs w:val="19"/>
        </w:rPr>
        <w:t xml:space="preserve">These wordings are drafted against the requirements described in clauses 10 to 12. Check them against the instrument that applies in the relevant court before use, and adjust the engagement wording to the practice's costs agreement.</w:t>
      </w:r>
    </w:p>
    <w:p>
      <w:pPr>
        <w:pStyle w:val="Heading2"/>
        <w:spacing w:after="100" w:before="240"/>
      </w:pPr>
      <w:r>
        <w:rPr>
          <w:rFonts w:ascii="Calibri" w:cs="Calibri" w:eastAsia="Calibri" w:hAnsi="Calibri"/>
          <w:b/>
          <w:bCs/>
          <w:i w:val="false"/>
          <w:iCs w:val="false"/>
          <w:color w:val="000000"/>
          <w:sz w:val="21"/>
          <w:szCs w:val="21"/>
        </w:rPr>
        <w:t xml:space="preserve">Written submissions</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The preparation of these submissions involved the use of a generative artificial intelligence tool. All citations, legal and academic authority, case law and legislative references in these submissions exist, are accurate and are relevant to these proceedings. All references to evidence, whether contained in affidavits or transcript, have been verified to the same standard. That verification was not carried out by a generative artificial intelligence tool.</w:t>
      </w:r>
    </w:p>
    <w:p>
      <w:pPr>
        <w:pStyle w:val="Heading2"/>
        <w:spacing w:after="100" w:before="240"/>
      </w:pPr>
      <w:r>
        <w:rPr>
          <w:rFonts w:ascii="Calibri" w:cs="Calibri" w:eastAsia="Calibri" w:hAnsi="Calibri"/>
          <w:b/>
          <w:bCs/>
          <w:i w:val="false"/>
          <w:iCs w:val="false"/>
          <w:color w:val="000000"/>
          <w:sz w:val="21"/>
          <w:szCs w:val="21"/>
        </w:rPr>
        <w:t xml:space="preserve">Affidavit, witness statement or character reference</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Generative artificial intelligence was not used in generating the content of this affidavit, including by altering, embellishing, strengthening, diluting or rephrasing my evidence.</w:t>
      </w:r>
    </w:p>
    <w:p>
      <w:pPr>
        <w:spacing w:after="160" w:line="240"/>
        <w:ind w:left="680"/>
        <w:jc w:val="both"/>
      </w:pPr>
      <w:r>
        <w:rPr>
          <w:rFonts w:ascii="Calibri" w:cs="Calibri" w:eastAsia="Calibri" w:hAnsi="Calibri"/>
          <w:b w:val="false"/>
          <w:bCs w:val="false"/>
          <w:i w:val="false"/>
          <w:iCs w:val="false"/>
          <w:sz w:val="21"/>
          <w:szCs w:val="21"/>
        </w:rPr>
        <w:t xml:space="preserve">Where leave has been obtained in relation to an annexure or exhibit prepared for the purposes of the evidence, the disclosure is extended to identify that annexure or exhibit and the leave granted.</w:t>
      </w:r>
    </w:p>
    <w:p>
      <w:pPr>
        <w:pStyle w:val="Heading2"/>
        <w:spacing w:after="100" w:before="240"/>
      </w:pPr>
      <w:r>
        <w:rPr>
          <w:rFonts w:ascii="Calibri" w:cs="Calibri" w:eastAsia="Calibri" w:hAnsi="Calibri"/>
          <w:b/>
          <w:bCs/>
          <w:i w:val="false"/>
          <w:iCs w:val="false"/>
          <w:color w:val="000000"/>
          <w:sz w:val="21"/>
          <w:szCs w:val="21"/>
        </w:rPr>
        <w:t xml:space="preserve">Disclosure of use in evidentiary material</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Generative artificial intelligence was used in the preparation of this document as follows. [Tool and version] was used to [summarise the documents listed at paragraph X / analyse the data at annexure Y]. The output appears at [paragraphs / annexure]. It was reviewed and verified by [name] against the source documents. No other use was made of generative artificial intelligence in the preparation of this document.</w:t>
      </w:r>
    </w:p>
    <w:p>
      <w:pPr>
        <w:pStyle w:val="Heading2"/>
        <w:spacing w:after="100" w:before="240"/>
      </w:pPr>
      <w:r>
        <w:rPr>
          <w:rFonts w:ascii="Calibri" w:cs="Calibri" w:eastAsia="Calibri" w:hAnsi="Calibri"/>
          <w:b/>
          <w:bCs/>
          <w:i w:val="false"/>
          <w:iCs w:val="false"/>
          <w:color w:val="000000"/>
          <w:sz w:val="21"/>
          <w:szCs w:val="21"/>
        </w:rPr>
        <w:t xml:space="preserve">Response to a direction to identify portions and verification</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The portions of [document] produced with the assistance of a generative artificial intelligence tool are [identify precisely]. The tool used was [name and version], accessed through the practice's [account or tenancy]. Verification was carried out by [name], a [position], on [date], by reading each authority in [authorised reports / AustLII] and each legislative provision on [authorised site], and by checking each reference to evidence against the affidavit or transcript in which it appears. No part of that verification was carried out using a generative artificial intelligence tool.</w:t>
      </w:r>
    </w:p>
    <w:p>
      <w:pPr>
        <w:pStyle w:val="Heading2"/>
        <w:spacing w:after="100" w:before="240"/>
      </w:pPr>
      <w:r>
        <w:rPr>
          <w:rFonts w:ascii="Calibri" w:cs="Calibri" w:eastAsia="Calibri" w:hAnsi="Calibri"/>
          <w:b/>
          <w:bCs/>
          <w:i w:val="false"/>
          <w:iCs w:val="false"/>
          <w:color w:val="000000"/>
          <w:sz w:val="21"/>
          <w:szCs w:val="21"/>
        </w:rPr>
        <w:t xml:space="preserve">Engagement documents</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We use artificial intelligence tools to assist with parts of our work, such as research, summarising documents and preparing drafts. We only use tools this practice has assessed and approved, under contractual terms that prevent your information being used to train a supplier's systems. A solicitor reviews and verifies all work before it is provided to you or filed in a court, and remains responsible for it. Any time saved is reflected in what we charge you. We will tell you and obtain your agreement before using an artificial intelligence tool in any way that goes beyond this. A copy of our artificial intelligence policy is available on request. If you would prefer that we did not use these tools on your matter, tell us and we will accommodate that request.</w:t>
      </w:r>
    </w:p>
    <w:p>
      <w:pPr>
        <w:pStyle w:val="Heading2"/>
        <w:spacing w:after="100" w:before="240"/>
      </w:pPr>
      <w:r>
        <w:rPr>
          <w:rFonts w:ascii="Calibri" w:cs="Calibri" w:eastAsia="Calibri" w:hAnsi="Calibri"/>
          <w:b/>
          <w:bCs/>
          <w:i w:val="false"/>
          <w:iCs w:val="false"/>
          <w:color w:val="000000"/>
          <w:sz w:val="21"/>
          <w:szCs w:val="21"/>
        </w:rPr>
        <w:t xml:space="preserve">Warning to the client about their own use</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Please do not enter our advice, our correspondence with you, or documents about your matter into a publicly available artificial intelligence tool such as a free chatbot. Communications between us are confidential, and that confidentiality is what makes them privileged, meaning you cannot generally be compelled to disclose them. Putting them into a public tool may destroy that confidentiality and may mean the privilege is lost. If you want to use an artificial intelligence tool in connection with your matter, speak to us first.</w:t>
      </w:r>
    </w:p>
    <w:p>
      <w:pPr>
        <w:pStyle w:val="Heading2"/>
        <w:spacing w:after="100" w:before="240"/>
      </w:pPr>
      <w:r>
        <w:rPr>
          <w:rFonts w:ascii="Calibri" w:cs="Calibri" w:eastAsia="Calibri" w:hAnsi="Calibri"/>
          <w:b/>
          <w:bCs/>
          <w:i w:val="false"/>
          <w:iCs w:val="false"/>
          <w:color w:val="000000"/>
          <w:sz w:val="21"/>
          <w:szCs w:val="21"/>
        </w:rPr>
        <w:t xml:space="preserve">Consent to recording and transcription</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Before we start, I want to let you know that I am using a tool that records and transcribes this conversation so that I have an accurate note of it. The recording and the transcript go on your file and are treated as confidential in the same way as everything else on it. Are you happy for me to record on that basis? [Record the answer.] Thank you. I am starting the recording now.</w:t>
      </w:r>
    </w:p>
    <w:p>
      <w:pPr>
        <w:spacing w:after="160" w:line="240"/>
        <w:ind w:left="680"/>
        <w:jc w:val="both"/>
      </w:pPr>
      <w:r>
        <w:rPr>
          <w:rFonts w:ascii="Calibri" w:cs="Calibri" w:eastAsia="Calibri" w:hAnsi="Calibri"/>
          <w:b w:val="false"/>
          <w:bCs w:val="false"/>
          <w:i w:val="false"/>
          <w:iCs w:val="false"/>
          <w:sz w:val="21"/>
          <w:szCs w:val="21"/>
        </w:rPr>
        <w:t xml:space="preserve">Where a participant declines, the tool must not be used and a manual note is taken instead. Where participants are in more than one State, the strictest applicable position governs. See clause 15.4.</w:t>
      </w:r>
    </w:p>
    <w:p>
      <w:pPr>
        <w:pStyle w:val="Heading2"/>
        <w:spacing w:after="100" w:before="240"/>
      </w:pPr>
      <w:r>
        <w:rPr>
          <w:rFonts w:ascii="Calibri" w:cs="Calibri" w:eastAsia="Calibri" w:hAnsi="Calibri"/>
          <w:b/>
          <w:bCs/>
          <w:i w:val="false"/>
          <w:iCs w:val="false"/>
          <w:color w:val="000000"/>
          <w:sz w:val="21"/>
          <w:szCs w:val="21"/>
        </w:rPr>
        <w:t xml:space="preserve">Letter of instruction to an expert</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The court in which this proceeding is brought regulates the use of generative artificial intelligence by expert witnesses. You must not use any generative artificial intelligence tool to draft or prepare the content of your report, or any part of it, without the prior leave of the court. If you have used, or propose to use, any such tool for any purpose connected with your report, including to summarise or analyse material on which you rely, tell us before you proceed so that we can address the position with the court. Your report must state your own opinion and your own process of reasoning, and must comply with [the applicable expert code of conduct or practice note].</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4  Restricted information approval</w:t>
      </w:r>
    </w:p>
    <w:p>
      <w:pPr>
        <w:spacing w:after="200" w:line="240"/>
        <w:ind w:left="340" w:right="340"/>
        <w:jc w:val="both"/>
      </w:pPr>
      <w:r>
        <w:rPr>
          <w:rFonts w:ascii="Calibri" w:cs="Calibri" w:eastAsia="Calibri" w:hAnsi="Calibri"/>
          <w:b w:val="false"/>
          <w:bCs w:val="false"/>
          <w:i/>
          <w:iCs/>
          <w:color w:val="595959"/>
          <w:sz w:val="19"/>
          <w:szCs w:val="19"/>
        </w:rPr>
        <w:t xml:space="preserve">To be completed by the responsible practitioner before restricted information is used with any tool, and placed on the matter file.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Item</w:t>
            </w:r>
          </w:p>
        </w:tc>
        <w:tc>
          <w:tcPr>
            <w:tcW w:type="dxa" w:w="6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Detail</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Matter and proceeding number</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Category of restricted information</w:t>
            </w:r>
          </w:p>
          <w:p>
            <w:pPr>
              <w:spacing w:after="0" w:line="240"/>
            </w:pPr>
            <w:r>
              <w:rPr>
                <w:rFonts w:ascii="Calibri" w:cs="Calibri" w:eastAsia="Calibri" w:hAnsi="Calibri"/>
                <w:b w:val="false"/>
                <w:bCs w:val="false"/>
                <w:i w:val="false"/>
                <w:iCs w:val="false"/>
                <w:sz w:val="19"/>
                <w:szCs w:val="19"/>
              </w:rPr>
              <w:t xml:space="preserve">(clause 8.2(a) to (f))</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Description of the material</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Tool and version proposed</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Purpose, confined to this proceeding</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Basis for satisfaction: information remains in the controlled</w:t>
            </w:r>
          </w:p>
          <w:p>
            <w:pPr>
              <w:spacing w:after="0" w:line="240"/>
            </w:pPr>
            <w:r>
              <w:rPr>
                <w:rFonts w:ascii="Calibri" w:cs="Calibri" w:eastAsia="Calibri" w:hAnsi="Calibri"/>
                <w:b w:val="false"/>
                <w:bCs w:val="false"/>
                <w:i w:val="false"/>
                <w:iCs w:val="false"/>
                <w:sz w:val="19"/>
                <w:szCs w:val="19"/>
              </w:rPr>
              <w:t xml:space="preserve">environment, and the supplier is bound by confidentiality restrictions</w:t>
            </w:r>
          </w:p>
          <w:p>
            <w:pPr>
              <w:spacing w:after="0" w:line="240"/>
            </w:pPr>
            <w:r>
              <w:rPr>
                <w:rFonts w:ascii="Calibri" w:cs="Calibri" w:eastAsia="Calibri" w:hAnsi="Calibri"/>
                <w:b w:val="false"/>
                <w:bCs w:val="false"/>
                <w:i w:val="false"/>
                <w:iCs w:val="false"/>
                <w:sz w:val="19"/>
                <w:szCs w:val="19"/>
              </w:rPr>
              <w:t xml:space="preserve">so the data is neither made public nor used to train any model</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Basis for satisfaction: use confined to this proceeding</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Basis for satisfaction: not used to train the tool or any model</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Client informed and consent recorded (clause 12.3)</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Responsible practitioner and date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bl>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5  Court and tribunal instruments</w:t>
      </w:r>
    </w:p>
    <w:p>
      <w:pPr>
        <w:spacing w:after="200" w:line="240"/>
        <w:ind w:left="340" w:right="340"/>
        <w:jc w:val="both"/>
      </w:pPr>
      <w:r>
        <w:rPr>
          <w:rFonts w:ascii="Calibri" w:cs="Calibri" w:eastAsia="Calibri" w:hAnsi="Calibri"/>
          <w:b w:val="false"/>
          <w:bCs w:val="false"/>
          <w:i/>
          <w:iCs/>
          <w:color w:val="595959"/>
          <w:sz w:val="19"/>
          <w:szCs w:val="19"/>
        </w:rPr>
        <w:t xml:space="preserve">To be completed with the instruments in force in each jurisdiction in which the practice appears, and checked at each review. The entries below were current when this template was prepared and must be verified before the policy is adopted.</w:t>
      </w:r>
    </w:p>
    <w:p>
      <w:pPr>
        <w:spacing w:after="200" w:line="240"/>
        <w:ind w:left="340" w:right="340"/>
        <w:jc w:val="both"/>
      </w:pPr>
      <w:r>
        <w:rPr>
          <w:rFonts w:ascii="Calibri" w:cs="Calibri" w:eastAsia="Calibri" w:hAnsi="Calibri"/>
          <w:b w:val="0"/>
          <w:bCs w:val="false"/>
          <w:i w:val="0"/>
          <w:iCs/>
          <w:color w:val="595959"/>
          <w:sz w:val="19"/>
          <w:szCs w:val="19"/>
        </w:rPr>
        <w:t>An instrument is only as current as the date it was last checked. Each row carries that date and the person who checked it, and a row without one is to be treated as unverified. These instruments are amended, and several already have been, so a paragraph number relied on elsewhere may move.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200"/>
        <w:gridCol w:w="1900"/>
      </w:tblGrid>
      <w:tr>
        <w:trPr>
          <w:tblHeade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Court</w:t>
            </w:r>
          </w:p>
        </w:tc>
        <w:tc>
          <w:tcPr>
            <w:tcW w:type="dxa" w:w="4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Instrument</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Date</w:t>
            </w:r>
          </w:p>
        </w:tc>
        <w:tc>
          <w:tcPr>
            <w:tcW w:type="dxa" w:w="1900"/>
          </w:tcPr>
          <w:p>
            <w:r>
              <w:t>Source, and date last checked</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Supreme Court of New South Wales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Practice Note SC Gen 23, Use of Generative Artificial Intelligence (Gen AI). Adopted in the District Court, Local Court and Land and Environment Court of New South Wales, and applied in substance by NCAT. Paragraph 9A sets the conditions for compelled material; paragraph 13 requires the affidavit disclosure; paragraphs 16 to 18 govern submissions; paragraphs 19 to 25 govern expert reports.</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Issued 28 January 2025, commenced 3 February 2025, replacing the version issued 21 November 2024</w:t>
            </w:r>
          </w:p>
        </w:tc>
        <w:tc>
          <w:tcPr>
            <w:tcW w:type="dxa" w:w="1900"/>
          </w:tcPr>
          <w:p>
            <w:r>
              <w:t>supremecourt.nsw.gov.au/documents/Practice-and-Procedure/Practice-Notes/general/current/PN_SC_Gen_23.pdf</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Courts of New South Wales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Guidelines for New South Wales Judges in respect of use of Generative AI. Apply to all courts in New South Wales. Paragraph 9 permits a judge to require disclosure of use and an assurance identifying the verification process followed.</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Issued 21 November 2024</w:t>
            </w:r>
          </w:p>
        </w:tc>
        <w:tc>
          <w:tcPr>
            <w:tcW w:type="dxa" w:w="1900"/>
          </w:tcPr>
          <w:p>
            <w:r>
              <w:t>[URL to be recorded]</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Federal Court of Australia</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Use of Generative Artificial Intelligence Practice Note (GPN-AI), to be read with the Central Practice Note (CPN-1) and the Expert Evidence Practice Note (GPN-EXPT). Paragraph 4.5 lists the confirmations expected of the responsible person; paragraphs 4.10 and 4.11 govern disclosure in evidentiary material; paragraphs 4.13 to 4.15 govern confidential, suppressed and private information.</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Issued 16 April 2026</w:t>
            </w:r>
          </w:p>
        </w:tc>
        <w:tc>
          <w:tcPr>
            <w:tcW w:type="dxa" w:w="1900"/>
          </w:tcPr>
          <w:p>
            <w:r>
              <w:t>fedcourt.gov.au/law-and-practice/practice-documents/practice-notes/gpn-ai</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Federal Circuit and Family Court of Australia</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Practice Direction, Use of Artificial Intelligence. Applies to all proceedings and all court users, including litigants, lawyers and experts.</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Issued 29 May 2026</w:t>
            </w:r>
          </w:p>
        </w:tc>
        <w:tc>
          <w:tcPr>
            <w:tcW w:type="dxa" w:w="1900"/>
          </w:tcPr>
          <w:p>
            <w:r>
              <w:t>fcfcoa.gov.au/pd/pd-ai</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Supreme Court of Victoria</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Practice Note SC Gen 25, The Use of Artificial Intelligence by Court Users. Applies to all court users, including lay and expert witnesses. Clause 6 states the duties of court users and the additional duties of lawyers; clause 7 states the verification requirement, including that one tool cannot be used to confirm the output of another, and that a court user must be prepared to identify the portions of a document produced using AI and explain how the output was verified. Replaced the Guidelines for Litigants of May 2024.</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Issued and commenced 14 May 2026</w:t>
            </w:r>
          </w:p>
        </w:tc>
        <w:tc>
          <w:tcPr>
            <w:tcW w:type="dxa" w:w="1900"/>
          </w:tcPr>
          <w:p>
            <w:r>
              <w:t>supremecourt.vic.gov.au/areas/legal-resources/practice-notes</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Supreme Court of Victoria</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The Use of Artificial Intelligence by Judicial Officers. Records that the Court itself permits only Court-approved tools for case related matters.</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Issued 14 May 2026</w:t>
            </w:r>
          </w:p>
        </w:tc>
        <w:tc>
          <w:tcPr>
            <w:tcW w:type="dxa" w:w="1900"/>
          </w:tcPr>
          <w:p>
            <w:r>
              <w:t>supremecourt.vic.gov.au/areas/legal-resources/practice-notes</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[Other jurisdictions]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[To be completed]</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900"/>
          </w:tcPr>
          <w:p>
            <w:r>
              <w:t>[URL to be recorded]</w:t>
              <w:br/>
              <w:t>Checked [date] by [name]</w:t>
            </w:r>
          </w:p>
        </w:tc>
      </w:tr>
    </w:tbl>
    <w:p>
      <w:pPr>
        <w:spacing w:after="160" w:line="240"/>
        <w:ind w:left="680"/>
        <w:jc w:val="both"/>
      </w:pPr>
      <w:r>
        <w:rPr>
          <w:rFonts w:ascii="Calibri" w:cs="Calibri" w:eastAsia="Calibri" w:hAnsi="Calibri"/>
          <w:b w:val="false"/>
          <w:bCs w:val="false"/>
          <w:i w:val="false"/>
          <w:iCs w:val="false"/>
          <w:sz w:val="21"/>
          <w:szCs w:val="21"/>
        </w:rPr>
        <w:t xml:space="preserve">Practitioners must also consult the guidance issued by the regulatory authority for their jurisdiction, and barristers the guidance of their Bar Association. For solicitors in New South Wales, Victoria and Western Australia this includes the joint statement of the Law Society of New South Wales, the Legal Practice Board of Western Australia and the Victorian Legal Services Board and Commissioner on the use of artificial intelligence in Australian legal practice, and in New South Wales A Solicitor's Guide to Responsible Use of Artificial Intelligence published by the Law Society of New South Wales.</w:t>
      </w:r>
    </w:p>
    <w:p>
      <w:pPr>
        <w:spacing w:after="160" w:line="240"/>
        <w:ind w:left="680"/>
        <w:jc w:val="both"/>
      </w:pPr>
      <w:r>
        <w:rPr>
          <w:rFonts w:ascii="Calibri" w:cs="Calibri" w:eastAsia="Calibri" w:hAnsi="Calibri"/>
          <w:b w:val="false"/>
          <w:bCs w:val="false"/>
          <w:i w:val="false"/>
          <w:iCs w:val="false"/>
          <w:sz w:val="21"/>
          <w:szCs w:val="21"/>
        </w:rPr>
        <w:t xml:space="preserve">The judicial guidelines listed above do not bind practitioners, but they record what the court will be looking for. Under the New South Wales guidelines a judge may require a practitioner to disclose any use of generative AI in written submissions or other documents placed before the court, and to give an assurance that the documents have been verified, identifying the process of verification followed.</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6  Suitability path</w:t>
      </w:r>
    </w:p>
    <w:p>
      <w:pPr>
        <w:spacing w:after="200" w:line="240"/>
        <w:ind w:left="340" w:right="340"/>
        <w:jc w:val="both"/>
      </w:pPr>
      <w:r>
        <w:rPr>
          <w:rFonts w:ascii="Calibri" w:cs="Calibri" w:eastAsia="Calibri" w:hAnsi="Calibri"/>
          <w:b w:val="false"/>
          <w:bCs w:val="false"/>
          <w:i/>
          <w:iCs/>
          <w:color w:val="595959"/>
          <w:sz w:val="19"/>
          <w:szCs w:val="19"/>
        </w:rPr>
        <w:t xml:space="preserve">To be worked through before a tool is used on a task. Where the answer at a step is no, do not proceed until the action in the right-hand column has been taken.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2700"/>
      </w:tblGrid>
      <w:tr>
        <w:trPr>
          <w:tblHeader/>
          <w:cantSplit/>
        </w:trPr>
        <w:tc>
          <w:tcPr>
            <w:tcW w:type="dxa" w:w="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Question</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If no</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1</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 the task within the permitted uses recorded for an approved tool in Schedule 1?</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Do not use. Request approval under clause 6.9.</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2</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Do the client's own terms permit the use of AI on this matter, and permit this supplier and this data location?</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Do not use. Clause 12.2.</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3</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 the task one of drafting, summarising, extracting, rewriting or researching, which if done by hand would be repetitive or formulaic?</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 tool is unlikely to be suitable. Consider clause 5.3 and 5.4.</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4</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 the output something other than the content of a witness's evidence or an expert's opinion?</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Prohibited. Clause 7.1(a) and (b).</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5</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If restricted information is involved, is there an approval under clause 8 recorded on the file?</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Do not use until the approval is given and recorded.</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6</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Are you able to verify the output personally against primary sources, or is a practitioner who can do so reviewing it?</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Do not use. Clause 9.2 and 9.6, and clause 13.3.</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7</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Will the use reduce, or at least not increase, the cost to the client?</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Reconsider. Clause 14.3.</w:t>
            </w:r>
          </w:p>
        </w:tc>
      </w:tr>
    </w:tbl>
    <w:p>
      <w:pPr>
        <w:spacing w:after="160" w:line="240"/>
        <w:ind w:left="680"/>
        <w:jc w:val="both"/>
      </w:pPr>
      <w:r>
        <w:rPr>
          <w:rFonts w:ascii="Calibri" w:cs="Calibri" w:eastAsia="Calibri" w:hAnsi="Calibri"/>
          <w:b w:val="false"/>
          <w:bCs w:val="false"/>
          <w:i w:val="false"/>
          <w:iCs w:val="false"/>
          <w:sz w:val="21"/>
          <w:szCs w:val="21"/>
        </w:rPr>
        <w:t xml:space="preserve">Questions 1, 2, 4, 5 and 6 are absolute. Questions 3 and 7 require a judgment to be made and recorded before the task proceeds.</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7  Indicators of unverified or undisclosed use</w:t>
      </w:r>
    </w:p>
    <w:p>
      <w:pPr>
        <w:spacing w:after="200" w:line="240"/>
        <w:ind w:left="340" w:right="340"/>
        <w:jc w:val="both"/>
      </w:pPr>
      <w:r>
        <w:rPr>
          <w:rFonts w:ascii="Calibri" w:cs="Calibri" w:eastAsia="Calibri" w:hAnsi="Calibri"/>
          <w:b w:val="false"/>
          <w:bCs w:val="false"/>
          <w:i/>
          <w:iCs/>
          <w:color w:val="595959"/>
          <w:sz w:val="19"/>
          <w:szCs w:val="19"/>
        </w:rPr>
        <w:t xml:space="preserve">Drawn from the indicators identified in the judicial guidelines. A supervisor who sees any of these must make further inquiry before the document is settled.</w:t>
      </w:r>
    </w:p>
    <w:p>
      <w:pPr>
        <w:spacing w:after="160" w:line="240"/>
        <w:ind w:left="680"/>
        <w:jc w:val="both"/>
      </w:pPr>
      <w:r>
        <w:rPr>
          <w:rFonts w:ascii="Calibri" w:cs="Calibri" w:eastAsia="Calibri" w:hAnsi="Calibri"/>
          <w:b w:val="false"/>
          <w:bCs w:val="false"/>
          <w:i w:val="false"/>
          <w:iCs w:val="false"/>
          <w:sz w:val="21"/>
          <w:szCs w:val="21"/>
        </w:rPr>
        <w:t xml:space="preserve">A citation that cannot be found, or that does not match the parties, court or year given for it.</w:t>
      </w:r>
    </w:p>
    <w:p>
      <w:pPr>
        <w:spacing w:after="160" w:line="240"/>
        <w:ind w:left="680"/>
        <w:jc w:val="both"/>
      </w:pPr>
      <w:r>
        <w:rPr>
          <w:rFonts w:ascii="Calibri" w:cs="Calibri" w:eastAsia="Calibri" w:hAnsi="Calibri"/>
          <w:b w:val="false"/>
          <w:bCs w:val="false"/>
          <w:i w:val="false"/>
          <w:iCs w:val="false"/>
          <w:sz w:val="21"/>
          <w:szCs w:val="21"/>
        </w:rPr>
        <w:t xml:space="preserve">An analysis of the law that is out of date, incomplete, or does not account for a recent development.</w:t>
      </w:r>
    </w:p>
    <w:p>
      <w:pPr>
        <w:spacing w:after="160" w:line="240"/>
        <w:ind w:left="680"/>
        <w:jc w:val="both"/>
      </w:pPr>
      <w:r>
        <w:rPr>
          <w:rFonts w:ascii="Calibri" w:cs="Calibri" w:eastAsia="Calibri" w:hAnsi="Calibri"/>
          <w:b w:val="false"/>
          <w:bCs w:val="false"/>
          <w:i w:val="false"/>
          <w:iCs w:val="false"/>
          <w:sz w:val="21"/>
          <w:szCs w:val="21"/>
        </w:rPr>
        <w:t xml:space="preserve">Authority drawn from another jurisdiction and applied without adjustment for substantive or procedural differences.</w:t>
      </w:r>
    </w:p>
    <w:p>
      <w:pPr>
        <w:spacing w:after="160" w:line="240"/>
        <w:ind w:left="680"/>
        <w:jc w:val="both"/>
      </w:pPr>
      <w:r>
        <w:rPr>
          <w:rFonts w:ascii="Calibri" w:cs="Calibri" w:eastAsia="Calibri" w:hAnsi="Calibri"/>
          <w:b w:val="false"/>
          <w:bCs w:val="false"/>
          <w:i w:val="false"/>
          <w:iCs w:val="false"/>
          <w:sz w:val="21"/>
          <w:szCs w:val="21"/>
        </w:rPr>
        <w:t xml:space="preserve">A submission that diverges from the reader's understanding of the applicable law, or contains an obvious substantive error.</w:t>
      </w:r>
    </w:p>
    <w:p>
      <w:pPr>
        <w:spacing w:after="160" w:line="240"/>
        <w:ind w:left="680"/>
        <w:jc w:val="both"/>
      </w:pPr>
      <w:r>
        <w:rPr>
          <w:rFonts w:ascii="Calibri" w:cs="Calibri" w:eastAsia="Calibri" w:hAnsi="Calibri"/>
          <w:b w:val="false"/>
          <w:bCs w:val="false"/>
          <w:i w:val="false"/>
          <w:iCs w:val="false"/>
          <w:sz w:val="21"/>
          <w:szCs w:val="21"/>
        </w:rPr>
        <w:t xml:space="preserve">Non-specific or repetitive language, or a document that reads as though it could apply to any matter.</w:t>
      </w:r>
    </w:p>
    <w:p>
      <w:pPr>
        <w:spacing w:after="160" w:line="240"/>
        <w:ind w:left="680"/>
        <w:jc w:val="both"/>
      </w:pPr>
      <w:r>
        <w:rPr>
          <w:rFonts w:ascii="Calibri" w:cs="Calibri" w:eastAsia="Calibri" w:hAnsi="Calibri"/>
          <w:b w:val="false"/>
          <w:bCs w:val="false"/>
          <w:i w:val="false"/>
          <w:iCs w:val="false"/>
          <w:sz w:val="21"/>
          <w:szCs w:val="21"/>
        </w:rPr>
        <w:t xml:space="preserve">Expressions or spellings associated with another jurisdiction.</w:t>
      </w:r>
    </w:p>
    <w:p>
      <w:pPr>
        <w:spacing w:after="160" w:line="240"/>
        <w:ind w:left="680"/>
        <w:jc w:val="both"/>
      </w:pPr>
      <w:r>
        <w:rPr>
          <w:rFonts w:ascii="Calibri" w:cs="Calibri" w:eastAsia="Calibri" w:hAnsi="Calibri"/>
          <w:b w:val="false"/>
          <w:bCs w:val="false"/>
          <w:i w:val="false"/>
          <w:iCs w:val="false"/>
          <w:sz w:val="21"/>
          <w:szCs w:val="21"/>
        </w:rPr>
        <w:t xml:space="preserve">A quotation that is fluent and apt but cannot be located in the source given for it.</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8  Application settings</w:t>
      </w:r>
    </w:p>
    <w:p>
      <w:pPr>
        <w:spacing w:after="200" w:line="240"/>
        <w:ind w:left="340" w:right="340"/>
        <w:jc w:val="both"/>
      </w:pPr>
      <w:r>
        <w:rPr>
          <w:rFonts w:ascii="Calibri" w:cs="Calibri" w:eastAsia="Calibri" w:hAnsi="Calibri"/>
          <w:b w:val="false"/>
          <w:bCs w:val="false"/>
          <w:i/>
          <w:iCs/>
          <w:color w:val="595959"/>
          <w:sz w:val="19"/>
          <w:szCs w:val="19"/>
        </w:rPr>
        <w:t xml:space="preserve">Maintained by the AI Officer and reviewed quarterly. An application not listed here is not approved. Entries record the position established at the date of the last review; every claim about training, retention and data location must be traceable to the evidence file kept under clause 6.11, and not to a supplier's marketing material. Settings named below were verified against supplier documentation at the date of review and are renamed by suppliers more often than this policy is amended.</w:t>
      </w:r>
    </w:p>
    <w:p>
      <w:pPr>
        <w:spacing w:after="200" w:line="240"/>
        <w:ind w:left="340" w:right="340"/>
        <w:jc w:val="both"/>
      </w:pPr>
      <w:r>
        <w:rPr>
          <w:rFonts w:ascii="Calibri" w:cs="Calibri" w:eastAsia="Calibri" w:hAnsi="Calibri"/>
          <w:b w:val="0"/>
          <w:bCs w:val="false"/>
          <w:i w:val="0"/>
          <w:iCs/>
          <w:color w:val="595959"/>
          <w:sz w:val="19"/>
          <w:szCs w:val="19"/>
        </w:rPr>
        <w:t>Three kinds of statement appear here and must not be read alike. A supplier fact is something the supplier states and the assessment records, such as a retention period or a processing location; it is verified against the executed agreement rather than marketing material, and it changes when the contract changes. A deployment fact is something true of these particular arrangements, such as the tier held or the region configured, and every one of them must be replaced on adoption. A conclusion is a view taken of what the instruments require, and carries the date it was approved and by whom. Where an entry mixes them, the supplier fact is the part that must be traceable to the evidence held for the tool.</w:t>
      </w:r>
    </w:p>
    <w:p>
      <w:pPr>
        <w:pStyle w:val="Heading2"/>
        <w:spacing w:after="100" w:before="240"/>
      </w:pPr>
      <w:r>
        <w:rPr>
          <w:rFonts w:ascii="Calibri" w:cs="Calibri" w:eastAsia="Calibri" w:hAnsi="Calibri"/>
          <w:b/>
          <w:bCs/>
          <w:i w:val="false"/>
          <w:iCs w:val="false"/>
          <w:color w:val="000000"/>
          <w:sz w:val="21"/>
          <w:szCs w:val="21"/>
        </w:rPr>
        <w:t xml:space="preserve">Part A  Approved for client information</w:t>
      </w:r>
    </w:p>
    <w:p>
      <w:pPr>
        <w:spacing w:after="200" w:line="240"/>
        <w:ind w:left="340" w:right="340"/>
        <w:jc w:val="both"/>
      </w:pPr>
      <w:r>
        <w:rPr>
          <w:rFonts w:ascii="Calibri" w:cs="Calibri" w:eastAsia="Calibri" w:hAnsi="Calibri"/>
          <w:b w:val="false"/>
          <w:bCs w:val="false"/>
          <w:i/>
          <w:iCs/>
          <w:color w:val="595959"/>
          <w:sz w:val="19"/>
          <w:szCs w:val="19"/>
        </w:rPr>
        <w:t xml:space="preserve">These applications may be used with client information subject to the settings recorded. Approval for restricted information under clause 8 is stated separately, because it requires the matters in clause 8.3 to be established.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450"/>
        <w:gridCol w:w="2050"/>
      </w:tblGrid>
      <w:tr>
        <w:trPr>
          <w:tblHeader/>
          <w:cantSplit/>
        </w:trPr>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Application</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Tier required</w:t>
            </w:r>
          </w:p>
        </w:tc>
        <w:tc>
          <w:tcPr>
            <w:tcW w:type="dxa" w:w="34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Settings that must be in force</w:t>
            </w:r>
          </w:p>
        </w:tc>
        <w:tc>
          <w:tcPr>
            <w:tcW w:type="dxa" w:w="20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Restricted information</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Practice management AI</w:t>
            </w:r>
          </w:p>
          <w:p>
            <w:pPr>
              <w:spacing w:after="0" w:line="240"/>
            </w:pPr>
            <w:r>
              <w:rPr>
                <w:rFonts w:ascii="Calibri" w:cs="Calibri" w:eastAsia="Calibri" w:hAnsi="Calibri"/>
                <w:b w:val="false"/>
                <w:bCs w:val="false"/>
                <w:i w:val="false"/>
                <w:iCs w:val="false"/>
                <w:sz w:val="19"/>
                <w:szCs w:val="19"/>
              </w:rPr>
              <w:t xml:space="preserve">assistant</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Included in the practice</w:t>
            </w:r>
          </w:p>
          <w:p>
            <w:pPr>
              <w:spacing w:after="0" w:line="240"/>
            </w:pPr>
            <w:r>
              <w:rPr>
                <w:rFonts w:ascii="Calibri" w:cs="Calibri" w:eastAsia="Calibri" w:hAnsi="Calibri"/>
                <w:b w:val="false"/>
                <w:bCs w:val="false"/>
                <w:i w:val="false"/>
                <w:iCs w:val="false"/>
                <w:sz w:val="19"/>
                <w:szCs w:val="19"/>
              </w:rPr>
              <w:t xml:space="preserve">subscription; admin</w:t>
            </w:r>
          </w:p>
          <w:p>
            <w:pPr>
              <w:spacing w:after="0" w:line="240"/>
            </w:pPr>
            <w:r>
              <w:rPr>
                <w:rFonts w:ascii="Calibri" w:cs="Calibri" w:eastAsia="Calibri" w:hAnsi="Calibri"/>
                <w:b w:val="false"/>
                <w:bCs w:val="false"/>
                <w:i w:val="false"/>
                <w:iCs w:val="false"/>
                <w:sz w:val="19"/>
                <w:szCs w:val="19"/>
              </w:rPr>
              <w:t xml:space="preserve">consent step completed</w:t>
            </w:r>
          </w:p>
        </w:tc>
        <w:tc>
          <w:tcPr>
            <w:tcW w:type="dxa" w:w="3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Supplier confirms in writing that answers are not used to train any model and that data is hosted in Australia. No client-identifying material in free-text queries beyond what the matter requires.</w:t>
            </w:r>
          </w:p>
        </w:tc>
        <w:tc>
          <w:tcPr>
            <w:tcW w:type="dxa" w:w="20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Permitted once the clause 8.3 matters are recorded. Verification under clause 9 applies in full: a legal-sector tool with a sound data posture still fabricates authority.</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Legal research platform</w:t>
            </w:r>
          </w:p>
          <w:p>
            <w:pPr>
              <w:spacing w:after="0" w:line="240"/>
            </w:pPr>
            <w:r>
              <w:rPr>
                <w:rFonts w:ascii="Calibri" w:cs="Calibri" w:eastAsia="Calibri" w:hAnsi="Calibri"/>
                <w:b w:val="false"/>
                <w:bCs w:val="false"/>
                <w:i w:val="false"/>
                <w:iCs w:val="false"/>
                <w:sz w:val="19"/>
                <w:szCs w:val="19"/>
              </w:rPr>
              <w:t xml:space="preserve">with AI answers</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Firm licence with the</w:t>
            </w:r>
          </w:p>
          <w:p>
            <w:pPr>
              <w:spacing w:after="0" w:line="240"/>
            </w:pPr>
            <w:r>
              <w:rPr>
                <w:rFonts w:ascii="Calibri" w:cs="Calibri" w:eastAsia="Calibri" w:hAnsi="Calibri"/>
                <w:b w:val="false"/>
                <w:bCs w:val="false"/>
                <w:i w:val="false"/>
                <w:iCs w:val="false"/>
                <w:sz w:val="19"/>
                <w:szCs w:val="19"/>
              </w:rPr>
              <w:t xml:space="preserve">Australian hosting term</w:t>
            </w:r>
          </w:p>
        </w:tc>
        <w:tc>
          <w:tcPr>
            <w:tcW w:type="dxa" w:w="3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Written confirmation of Australian hosting and processing, that customer prompts and output are not used for training, and that model calls use zero-retention interfaces. Organisation retention schedule set to the shortest available.</w:t>
            </w:r>
          </w:p>
        </w:tc>
        <w:tc>
          <w:tcPr>
            <w:tcW w:type="dxa" w:w="20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Permitted where the matters in clause 8.3 are established by the contract.</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Microsoft 365 Copilot</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Included tenant licence;</w:t>
            </w:r>
          </w:p>
          <w:p>
            <w:pPr>
              <w:spacing w:after="0" w:line="240"/>
            </w:pPr>
            <w:r>
              <w:rPr>
                <w:rFonts w:ascii="Calibri" w:cs="Calibri" w:eastAsia="Calibri" w:hAnsi="Calibri"/>
                <w:b w:val="false"/>
                <w:bCs w:val="false"/>
                <w:i w:val="false"/>
                <w:iCs w:val="false"/>
                <w:sz w:val="19"/>
                <w:szCs w:val="19"/>
              </w:rPr>
              <w:t xml:space="preserve">not enabled by default</w:t>
            </w:r>
          </w:p>
        </w:tc>
        <w:tc>
          <w:tcPr>
            <w:tcW w:type="dxa" w:w="3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Not enabled on client matters until SharePoint and OneDrive permissions have been audited and broad grants removed, restricted search is deployed, sensitivity labels and retention are applied, and Copilot interactions are captured for discovery. Web grounding off for sensitive queries. Confirm tenant data location.</w:t>
            </w:r>
          </w:p>
        </w:tc>
        <w:tc>
          <w:tcPr>
            <w:tcW w:type="dxa" w:w="20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Permitted within the tenant once the permission remediation is complete and recorded. The risk is oversharing rather than training.</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General assistant,</w:t>
            </w:r>
          </w:p>
          <w:p>
            <w:pPr>
              <w:spacing w:after="0" w:line="240"/>
            </w:pPr>
            <w:r>
              <w:rPr>
                <w:rFonts w:ascii="Calibri" w:cs="Calibri" w:eastAsia="Calibri" w:hAnsi="Calibri"/>
                <w:b w:val="false"/>
                <w:bCs w:val="false"/>
                <w:i w:val="false"/>
                <w:iCs w:val="false"/>
                <w:sz w:val="19"/>
                <w:szCs w:val="19"/>
              </w:rPr>
              <w:t xml:space="preserve">firm workspace</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Business or team tier;</w:t>
            </w:r>
          </w:p>
          <w:p>
            <w:pPr>
              <w:spacing w:after="0" w:line="240"/>
            </w:pPr>
            <w:r>
              <w:rPr>
                <w:rFonts w:ascii="Calibri" w:cs="Calibri" w:eastAsia="Calibri" w:hAnsi="Calibri"/>
                <w:b w:val="false"/>
                <w:bCs w:val="false"/>
                <w:i w:val="false"/>
                <w:iCs w:val="false"/>
                <w:sz w:val="19"/>
                <w:szCs w:val="19"/>
              </w:rPr>
              <w:t xml:space="preserve">personal and free</w:t>
            </w:r>
          </w:p>
          <w:p>
            <w:pPr>
              <w:spacing w:after="0" w:line="240"/>
            </w:pPr>
            <w:r>
              <w:rPr>
                <w:rFonts w:ascii="Calibri" w:cs="Calibri" w:eastAsia="Calibri" w:hAnsi="Calibri"/>
                <w:b w:val="false"/>
                <w:bCs w:val="false"/>
                <w:i w:val="false"/>
                <w:iCs w:val="false"/>
                <w:sz w:val="19"/>
                <w:szCs w:val="19"/>
              </w:rPr>
              <w:t xml:space="preserve">accounts prohibited.</w:t>
            </w:r>
          </w:p>
          <w:p>
            <w:pPr>
              <w:spacing w:after="0" w:line="240"/>
            </w:pPr>
            <w:r>
              <w:rPr>
                <w:rFonts w:ascii="Calibri" w:cs="Calibri" w:eastAsia="Calibri" w:hAnsi="Calibri"/>
                <w:b w:val="false"/>
                <w:bCs w:val="false"/>
                <w:i w:val="false"/>
                <w:iCs w:val="false"/>
                <w:sz w:val="19"/>
                <w:szCs w:val="19"/>
              </w:rPr>
              <w:t xml:space="preserve">See Part E</w:t>
            </w:r>
          </w:p>
        </w:tc>
        <w:tc>
          <w:tcPr>
            <w:tcW w:type="dxa" w:w="3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Training off under the commercial terms and established by the contract, not by a user setting. Retention set to the shortest period the tier allows, and recorded. The feedback, bug and share commands and the session transcript prompt disabled by managed policy, because those channels retain for five years and six months. Single sign-on enforced. Connectors and assistants restricted to those approved. Transmission logging to the practice collector configured.</w:t>
            </w:r>
          </w:p>
        </w:tc>
        <w:tc>
          <w:tcPr>
            <w:tcW w:type="dxa" w:w="20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Permitted where the contractual matters in clause 8.3 are recorded on the file. Clause 8.3 does not require zero retention, and a fixed retention period is neither publication nor training: see clause 8.8. Where no zero retention arrangement is available on the tier held, the contractual term and the practice transmission record carry the weight, and both must be in place first. Where the client requires that nothing be retained, use the tenancy route below.</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Assistant through the</w:t>
            </w:r>
          </w:p>
          <w:p>
            <w:pPr>
              <w:spacing w:after="0" w:line="240"/>
            </w:pPr>
            <w:r>
              <w:rPr>
                <w:rFonts w:ascii="Calibri" w:cs="Calibri" w:eastAsia="Calibri" w:hAnsi="Calibri"/>
                <w:b w:val="false"/>
                <w:bCs w:val="false"/>
                <w:i w:val="false"/>
                <w:iCs w:val="false"/>
                <w:sz w:val="19"/>
                <w:szCs w:val="19"/>
              </w:rPr>
              <w:t xml:space="preserve">firm cloud tenancy</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Tenancy in an Australian</w:t>
            </w:r>
          </w:p>
          <w:p>
            <w:pPr>
              <w:spacing w:after="0" w:line="240"/>
            </w:pPr>
            <w:r>
              <w:rPr>
                <w:rFonts w:ascii="Calibri" w:cs="Calibri" w:eastAsia="Calibri" w:hAnsi="Calibri"/>
                <w:b w:val="false"/>
                <w:bCs w:val="false"/>
                <w:i w:val="false"/>
                <w:iCs w:val="false"/>
                <w:sz w:val="19"/>
                <w:szCs w:val="19"/>
              </w:rPr>
              <w:t xml:space="preserve">region</w:t>
            </w:r>
          </w:p>
        </w:tc>
        <w:tc>
          <w:tcPr>
            <w:tcW w:type="dxa" w:w="3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Region pinned to Australia. Prompts and completions remain within the tenancy. Non-essential traffic to the model supplier disabled. Tenancy logging enabled.</w:t>
            </w:r>
          </w:p>
        </w:tc>
        <w:tc>
          <w:tcPr>
            <w:tcW w:type="dxa" w:w="20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Permitted, and the route to use where a client term or the sensitivity of the material requires that the supplier retain nothing. The configuration most readily evidenced under clause 8.3.</w:t>
            </w:r>
          </w:p>
        </w:tc>
      </w:tr>
    </w:tbl>
    <w:p>
      <w:pPr>
        <w:spacing w:after="200"/>
      </w:pPr>
      <w:r>
        <w:rPr>
          <w:rFonts w:ascii="Calibri" w:cs="Calibri" w:eastAsia="Calibri" w:hAnsi="Calibri"/>
          <w:b w:val="false"/>
          <w:bCs w:val="false"/>
          <w:i w:val="false"/>
          <w:iCs w:val="false"/>
          <w:sz w:val="21"/>
          <w:szCs w:val="21"/>
        </w:rPr>
        <w:t xml:space="preserve"/>
      </w:r>
    </w:p>
    <w:p>
      <w:pPr>
        <w:pStyle w:val="Heading2"/>
        <w:spacing w:after="100" w:before="240"/>
      </w:pPr>
      <w:r>
        <w:rPr>
          <w:rFonts w:ascii="Calibri" w:cs="Calibri" w:eastAsia="Calibri" w:hAnsi="Calibri"/>
          <w:b/>
          <w:bCs/>
          <w:i w:val="false"/>
          <w:iCs w:val="false"/>
          <w:color w:val="000000"/>
          <w:sz w:val="21"/>
          <w:szCs w:val="21"/>
        </w:rPr>
        <w:t xml:space="preserve">Part B  Approved for general use only</w:t>
      </w:r>
    </w:p>
    <w:p>
      <w:pPr>
        <w:spacing w:after="200" w:line="240"/>
        <w:ind w:left="340" w:right="340"/>
        <w:jc w:val="both"/>
      </w:pPr>
      <w:r>
        <w:rPr>
          <w:rFonts w:ascii="Calibri" w:cs="Calibri" w:eastAsia="Calibri" w:hAnsi="Calibri"/>
          <w:b w:val="false"/>
          <w:bCs w:val="false"/>
          <w:i/>
          <w:iCs/>
          <w:color w:val="595959"/>
          <w:sz w:val="19"/>
          <w:szCs w:val="19"/>
        </w:rPr>
        <w:t xml:space="preserve">No client information may be entered into these applications in any form. They are recorded so that their use is governed rather than unexamined.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3600"/>
      </w:tblGrid>
      <w:tr>
        <w:trPr>
          <w:tblHeade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Application</w:t>
            </w:r>
          </w:p>
        </w:tc>
        <w:tc>
          <w:tcPr>
            <w:tcW w:type="dxa" w:w="3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Permitted use</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Settings that must be in force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Workspace and note</w:t>
            </w:r>
          </w:p>
          <w:p>
            <w:pPr>
              <w:spacing w:after="0" w:line="240"/>
            </w:pPr>
            <w:r>
              <w:rPr>
                <w:rFonts w:ascii="Calibri" w:cs="Calibri" w:eastAsia="Calibri" w:hAnsi="Calibri"/>
                <w:b w:val="false"/>
                <w:bCs w:val="false"/>
                <w:i w:val="false"/>
                <w:iCs w:val="false"/>
                <w:sz w:val="19"/>
                <w:szCs w:val="19"/>
              </w:rPr>
              <w:t xml:space="preserve">platform with AI features</w:t>
            </w:r>
          </w:p>
        </w:tc>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Internal, non-client material only</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Enterprise tier with a verified domain so AI features can be governed centrally. Any programme that shares workspace content to improve a supplier model must remain off. Data region confirmed.</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Documentation retrieval</w:t>
            </w:r>
          </w:p>
          <w:p>
            <w:pPr>
              <w:spacing w:after="0" w:line="240"/>
            </w:pPr>
            <w:r>
              <w:rPr>
                <w:rFonts w:ascii="Calibri" w:cs="Calibri" w:eastAsia="Calibri" w:hAnsi="Calibri"/>
                <w:b w:val="false"/>
                <w:bCs w:val="false"/>
                <w:i w:val="false"/>
                <w:iCs w:val="false"/>
                <w:sz w:val="19"/>
                <w:szCs w:val="19"/>
              </w:rPr>
              <w:t xml:space="preserve">tool</w:t>
            </w:r>
          </w:p>
        </w:tc>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Library and documentation queries only</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Restricted so it cannot receive matter material, through the managed allowlist at Part E. No client information in any query.</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Developer assistant in an</w:t>
            </w:r>
          </w:p>
          <w:p>
            <w:pPr>
              <w:spacing w:after="0" w:line="240"/>
            </w:pPr>
            <w:r>
              <w:rPr>
                <w:rFonts w:ascii="Calibri" w:cs="Calibri" w:eastAsia="Calibri" w:hAnsi="Calibri"/>
                <w:b w:val="false"/>
                <w:bCs w:val="false"/>
                <w:i w:val="false"/>
                <w:iCs w:val="false"/>
                <w:sz w:val="19"/>
                <w:szCs w:val="19"/>
              </w:rPr>
              <w:t xml:space="preserve">editor</w:t>
            </w:r>
          </w:p>
        </w:tc>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Practice code, not client matters</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Business or Enterprise tier with the privacy setting enforced by administrator policy rather than left to the user. No client documents in the workspace. Absence of an exportable audit record recorded here, which is why it is not approved for client information.</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Locally hosted model</w:t>
            </w:r>
          </w:p>
        </w:tc>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Any, including sensitive material</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Runs on the device with no network egress. Confirm no telemetry and no cloud synchronisation. Lowest exposure of any option and preferred where the material is sensitive and the task allows it.</w:t>
            </w:r>
          </w:p>
        </w:tc>
      </w:tr>
    </w:tbl>
    <w:p>
      <w:pPr>
        <w:spacing w:after="200"/>
      </w:pPr>
      <w:r>
        <w:rPr>
          <w:rFonts w:ascii="Calibri" w:cs="Calibri" w:eastAsia="Calibri" w:hAnsi="Calibri"/>
          <w:b w:val="false"/>
          <w:bCs w:val="false"/>
          <w:i w:val="false"/>
          <w:iCs w:val="false"/>
          <w:sz w:val="21"/>
          <w:szCs w:val="21"/>
        </w:rPr>
        <w:t xml:space="preserve"/>
      </w:r>
    </w:p>
    <w:p>
      <w:pPr>
        <w:pStyle w:val="Heading2"/>
        <w:spacing w:after="100" w:before="240"/>
      </w:pPr>
      <w:r>
        <w:rPr>
          <w:rFonts w:ascii="Calibri" w:cs="Calibri" w:eastAsia="Calibri" w:hAnsi="Calibri"/>
          <w:b/>
          <w:bCs/>
          <w:i w:val="false"/>
          <w:iCs w:val="false"/>
          <w:color w:val="000000"/>
          <w:sz w:val="21"/>
          <w:szCs w:val="21"/>
        </w:rPr>
        <w:t xml:space="preserve">Part C  Recording, transcription and note-taking</w:t>
      </w:r>
    </w:p>
    <w:p>
      <w:pPr>
        <w:spacing w:after="200" w:line="240"/>
        <w:ind w:left="340" w:right="340"/>
        <w:jc w:val="both"/>
      </w:pPr>
      <w:r>
        <w:rPr>
          <w:rFonts w:ascii="Calibri" w:cs="Calibri" w:eastAsia="Calibri" w:hAnsi="Calibri"/>
          <w:b w:val="false"/>
          <w:bCs w:val="false"/>
          <w:i/>
          <w:iCs/>
          <w:color w:val="595959"/>
          <w:sz w:val="19"/>
          <w:szCs w:val="19"/>
        </w:rPr>
        <w:t xml:space="preserve">Clause 15 governs use. Consent is required before recording begins, and recording is prohibited in court.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000"/>
      </w:tblGrid>
      <w:tr>
        <w:trPr>
          <w:tblHeader/>
          <w:cantSplit/>
        </w:trPr>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Application</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Status</w:t>
            </w:r>
          </w:p>
        </w:tc>
        <w:tc>
          <w:tcPr>
            <w:tcW w:type="dxa" w:w="50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Settings and conditions</w:t>
            </w:r>
          </w:p>
        </w:tc>
      </w:tr>
      <w:tr>
        <w:trPr>
          <w:tblHeader w:val="false"/>
          <w:cantSplit/>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Transcription within the</w:t>
            </w:r>
          </w:p>
          <w:p>
            <w:pPr>
              <w:spacing w:after="0" w:line="240"/>
            </w:pPr>
            <w:r>
              <w:rPr>
                <w:rFonts w:ascii="Calibri" w:cs="Calibri" w:eastAsia="Calibri" w:hAnsi="Calibri"/>
                <w:b w:val="false"/>
                <w:bCs w:val="false"/>
                <w:i w:val="false"/>
                <w:iCs w:val="false"/>
                <w:sz w:val="19"/>
                <w:szCs w:val="19"/>
              </w:rPr>
              <w:t xml:space="preserve">practice conferencing</w:t>
            </w:r>
          </w:p>
          <w:p>
            <w:pPr>
              <w:spacing w:after="0" w:line="240"/>
            </w:pPr>
            <w:r>
              <w:rPr>
                <w:rFonts w:ascii="Calibri" w:cs="Calibri" w:eastAsia="Calibri" w:hAnsi="Calibri"/>
                <w:b w:val="false"/>
                <w:bCs w:val="false"/>
                <w:i w:val="false"/>
                <w:iCs w:val="false"/>
                <w:sz w:val="19"/>
                <w:szCs w:val="19"/>
              </w:rPr>
              <w:t xml:space="preserve">platform</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Approved</w:t>
            </w:r>
          </w:p>
        </w:tc>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Automatic transcription and automatic summary off at tenant level. Started by the host only after the consent at clause 15.3 is obtained and noted. Transcript filed to the matter. Preferred because the material stays within the tenant.</w:t>
            </w:r>
          </w:p>
        </w:tc>
      </w:tr>
      <w:tr>
        <w:trPr>
          <w:tblHeader w:val="false"/>
          <w:cantSplit/>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Cloud meeting assistant</w:t>
            </w:r>
          </w:p>
          <w:p>
            <w:pPr>
              <w:spacing w:after="0" w:line="240"/>
            </w:pPr>
            <w:r>
              <w:rPr>
                <w:rFonts w:ascii="Calibri" w:cs="Calibri" w:eastAsia="Calibri" w:hAnsi="Calibri"/>
                <w:b w:val="false"/>
                <w:bCs w:val="false"/>
                <w:i w:val="false"/>
                <w:iCs w:val="false"/>
                <w:sz w:val="19"/>
                <w:szCs w:val="19"/>
              </w:rPr>
              <w:t xml:space="preserve">that joins as a participant</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Prohibited</w:t>
            </w:r>
          </w:p>
        </w:tc>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These join and record without a positive act by the user, the consent position cannot be controlled by the practice, and the data path and training posture are not administrator-enforced. Not to be installed or connected to a practice account.</w:t>
            </w:r>
          </w:p>
        </w:tc>
      </w:tr>
      <w:tr>
        <w:trPr>
          <w:tblHeader w:val="false"/>
          <w:cantSplit/>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Dictation</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Approved where</w:t>
            </w:r>
          </w:p>
          <w:p>
            <w:pPr>
              <w:spacing w:after="0" w:line="240"/>
            </w:pPr>
            <w:r>
              <w:rPr>
                <w:rFonts w:ascii="Calibri" w:cs="Calibri" w:eastAsia="Calibri" w:hAnsi="Calibri"/>
                <w:b w:val="false"/>
                <w:bCs w:val="false"/>
                <w:i w:val="false"/>
                <w:iCs w:val="false"/>
                <w:sz w:val="19"/>
                <w:szCs w:val="19"/>
              </w:rPr>
              <w:t xml:space="preserve">on-device</w:t>
            </w:r>
          </w:p>
        </w:tc>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On-device processing only. A dictation service that transmits audio to a supplier is a disclosure and must be entered in Part A before use.</w:t>
            </w:r>
          </w:p>
        </w:tc>
      </w:tr>
      <w:tr>
        <w:trPr>
          <w:tblHeader w:val="false"/>
          <w:cantSplit/>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Any recording or</w:t>
            </w:r>
          </w:p>
          <w:p>
            <w:pPr>
              <w:spacing w:after="0" w:line="240"/>
            </w:pPr>
            <w:r>
              <w:rPr>
                <w:rFonts w:ascii="Calibri" w:cs="Calibri" w:eastAsia="Calibri" w:hAnsi="Calibri"/>
                <w:b w:val="false"/>
                <w:bCs w:val="false"/>
                <w:i w:val="false"/>
                <w:iCs w:val="false"/>
                <w:sz w:val="19"/>
                <w:szCs w:val="19"/>
              </w:rPr>
              <w:t xml:space="preserve">transcription in court</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Prohibited</w:t>
            </w:r>
          </w:p>
        </w:tc>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See clause 15.5. Leave of the court is required and is not implied by a remote hearing.</w:t>
            </w:r>
          </w:p>
        </w:tc>
      </w:tr>
    </w:tbl>
    <w:p>
      <w:pPr>
        <w:spacing w:after="200"/>
      </w:pPr>
      <w:r>
        <w:rPr>
          <w:rFonts w:ascii="Calibri" w:cs="Calibri" w:eastAsia="Calibri" w:hAnsi="Calibri"/>
          <w:b w:val="false"/>
          <w:bCs w:val="false"/>
          <w:i w:val="false"/>
          <w:iCs w:val="false"/>
          <w:sz w:val="21"/>
          <w:szCs w:val="21"/>
        </w:rPr>
        <w:t xml:space="preserve"/>
      </w:r>
    </w:p>
    <w:p>
      <w:pPr>
        <w:pStyle w:val="Heading2"/>
        <w:spacing w:after="100" w:before="240"/>
      </w:pPr>
      <w:r>
        <w:rPr>
          <w:rFonts w:ascii="Calibri" w:cs="Calibri" w:eastAsia="Calibri" w:hAnsi="Calibri"/>
          <w:b/>
          <w:bCs/>
          <w:i w:val="false"/>
          <w:iCs w:val="false"/>
          <w:color w:val="000000"/>
          <w:sz w:val="21"/>
          <w:szCs w:val="21"/>
        </w:rPr>
        <w:t xml:space="preserve">Part D  Prohibited</w:t>
      </w:r>
    </w:p>
    <w:p>
      <w:pPr>
        <w:spacing w:after="200" w:line="240"/>
        <w:ind w:left="340" w:right="340"/>
        <w:jc w:val="both"/>
      </w:pPr>
      <w:r>
        <w:rPr>
          <w:rFonts w:ascii="Calibri" w:cs="Calibri" w:eastAsia="Calibri" w:hAnsi="Calibri"/>
          <w:b w:val="false"/>
          <w:bCs w:val="false"/>
          <w:i/>
          <w:iCs/>
          <w:color w:val="595959"/>
          <w:sz w:val="19"/>
          <w:szCs w:val="19"/>
        </w:rPr>
        <w:t xml:space="preserve">These must not be used for any work of the practice. See clause 7.4.</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tblHeade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Application or category</w:t>
            </w:r>
          </w:p>
        </w:tc>
        <w:tc>
          <w:tcPr>
            <w:tcW w:type="dxa" w:w="6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Reason</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Assistants that process and store data in a</w:t>
            </w:r>
          </w:p>
          <w:p>
            <w:pPr>
              <w:spacing w:after="0" w:line="240"/>
            </w:pPr>
            <w:r>
              <w:rPr>
                <w:rFonts w:ascii="Calibri" w:cs="Calibri" w:eastAsia="Calibri" w:hAnsi="Calibri"/>
                <w:b w:val="false"/>
                <w:bCs w:val="false"/>
                <w:i w:val="false"/>
                <w:iCs w:val="false"/>
                <w:sz w:val="19"/>
                <w:szCs w:val="19"/>
              </w:rPr>
              <w:t xml:space="preserve">jurisdiction the practice cannot accept</w:t>
            </w:r>
          </w:p>
        </w:tc>
        <w:tc>
          <w:tcPr>
            <w:tcW w:type="dxa" w:w="6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Where a supplier states that personal data is stored in a jurisdiction from which the practice cannot retrieve it or enforce confidentiality, and reserves the right to train on inputs, no setting cures the position. One such assistant has been prohibited across Australian government entities by direction on security grounds.</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Free and personal-subscription tiers of any</w:t>
            </w:r>
          </w:p>
          <w:p>
            <w:pPr>
              <w:spacing w:after="0" w:line="240"/>
            </w:pPr>
            <w:r>
              <w:rPr>
                <w:rFonts w:ascii="Calibri" w:cs="Calibri" w:eastAsia="Calibri" w:hAnsi="Calibri"/>
                <w:b w:val="false"/>
                <w:bCs w:val="false"/>
                <w:i w:val="false"/>
                <w:iCs w:val="false"/>
                <w:sz w:val="19"/>
                <w:szCs w:val="19"/>
              </w:rPr>
              <w:t xml:space="preserve">assistant</w:t>
            </w:r>
          </w:p>
        </w:tc>
        <w:tc>
          <w:tcPr>
            <w:tcW w:type="dxa" w:w="6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The training control is held by the user and can be changed by the user, so the practice cannot be satisfied of the clause 8.3 matters or rely on the setting at all. See clause 6.10.</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Meeting assistants that join or record</w:t>
            </w:r>
          </w:p>
          <w:p>
            <w:pPr>
              <w:spacing w:after="0" w:line="240"/>
            </w:pPr>
            <w:r>
              <w:rPr>
                <w:rFonts w:ascii="Calibri" w:cs="Calibri" w:eastAsia="Calibri" w:hAnsi="Calibri"/>
                <w:b w:val="false"/>
                <w:bCs w:val="false"/>
                <w:i w:val="false"/>
                <w:iCs w:val="false"/>
                <w:sz w:val="19"/>
                <w:szCs w:val="19"/>
              </w:rPr>
              <w:t xml:space="preserve">automatically</w:t>
            </w:r>
          </w:p>
        </w:tc>
        <w:tc>
          <w:tcPr>
            <w:tcW w:type="dxa" w:w="6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Recording without a positive act by the user cannot be reconciled with clause 15.3 or with the consent requirements of the relevant State.</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Browser extensions that read page content</w:t>
            </w:r>
          </w:p>
        </w:tc>
        <w:tc>
          <w:tcPr>
            <w:tcW w:type="dxa" w:w="6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They transmit whatever is on screen, including another client's material, and the data path cannot be established or controlled.</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Any application whose data handling cannot</w:t>
            </w:r>
          </w:p>
          <w:p>
            <w:pPr>
              <w:spacing w:after="0" w:line="240"/>
            </w:pPr>
            <w:r>
              <w:rPr>
                <w:rFonts w:ascii="Calibri" w:cs="Calibri" w:eastAsia="Calibri" w:hAnsi="Calibri"/>
                <w:b w:val="false"/>
                <w:bCs w:val="false"/>
                <w:i w:val="false"/>
                <w:iCs w:val="false"/>
                <w:sz w:val="19"/>
                <w:szCs w:val="19"/>
              </w:rPr>
              <w:t xml:space="preserve">be established</w:t>
            </w:r>
          </w:p>
        </w:tc>
        <w:tc>
          <w:tcPr>
            <w:tcW w:type="dxa" w:w="6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Where a supplier publishes nothing verifiable and will not provide the evidence at Part F, the application cannot be approved. Absence of information is not a neutral position.</w:t>
            </w:r>
          </w:p>
        </w:tc>
      </w:tr>
    </w:tbl>
    <w:p>
      <w:pPr>
        <w:spacing w:after="200"/>
      </w:pPr>
      <w:r>
        <w:rPr>
          <w:rFonts w:ascii="Calibri" w:cs="Calibri" w:eastAsia="Calibri" w:hAnsi="Calibri"/>
          <w:b w:val="false"/>
          <w:bCs w:val="false"/>
          <w:i w:val="false"/>
          <w:iCs w:val="false"/>
          <w:sz w:val="21"/>
          <w:szCs w:val="21"/>
        </w:rPr>
        <w:t xml:space="preserve"/>
      </w:r>
    </w:p>
    <w:p>
      <w:pPr>
        <w:pStyle w:val="Heading2"/>
        <w:spacing w:after="100" w:before="240"/>
      </w:pPr>
      <w:r>
        <w:rPr>
          <w:rFonts w:ascii="Calibri" w:cs="Calibri" w:eastAsia="Calibri" w:hAnsi="Calibri"/>
          <w:b/>
          <w:bCs/>
          <w:i w:val="false"/>
          <w:iCs w:val="false"/>
          <w:color w:val="000000"/>
          <w:sz w:val="21"/>
          <w:szCs w:val="21"/>
        </w:rPr>
        <w:t xml:space="preserve">Part E  Subscription tier and its consequences</w:t>
      </w:r>
    </w:p>
    <w:p>
      <w:pPr>
        <w:spacing w:after="160" w:line="240"/>
        <w:ind w:left="680"/>
        <w:jc w:val="both"/>
      </w:pPr>
      <w:r>
        <w:rPr>
          <w:rFonts w:ascii="Calibri" w:cs="Calibri" w:eastAsia="Calibri" w:hAnsi="Calibri"/>
          <w:b w:val="false"/>
          <w:bCs w:val="false"/>
          <w:i w:val="false"/>
          <w:iCs w:val="false"/>
          <w:sz w:val="21"/>
          <w:szCs w:val="21"/>
        </w:rPr>
        <w:t>This Part is a worked example of one deployment, not a statement of the adopting practice's arrangements. Replace the tier, endpoint, region, retention and logging facts against the executed agreement and the observed deployment before adoption. The practice records here the subscription tier it holds for each application in Part A, because the tier governs what is available and what is not. The common case, and the premise on which the rest of this Part is written, is a business or team subscription on which a zero retention arrangement is not offered. On such a tier retention by the supplier is a fixed period, commonly thirty days, and cannot be shortened by configuration. This is recorded here rather than in the body of the policy because it changes if the practice changes tier.</w:t>
      </w:r>
    </w:p>
    <w:p>
      <w:pPr>
        <w:spacing w:after="160" w:line="240"/>
        <w:ind w:left="680"/>
        <w:jc w:val="both"/>
      </w:pPr>
      <w:r>
        <w:rPr>
          <w:rFonts w:ascii="Calibri" w:cs="Calibri" w:eastAsia="Calibri" w:hAnsi="Calibri"/>
          <w:b w:val="false"/>
          <w:bCs w:val="false"/>
          <w:i w:val="false"/>
          <w:iCs w:val="false"/>
          <w:sz w:val="21"/>
          <w:szCs w:val="21"/>
        </w:rPr>
        <w:t xml:space="preserve">What the tier does provide is the commercial terms, under which inputs and outputs are not used to train any model; organisation-level policy control, including the ability to prevent a user enabling the mode that removes permission prompts; and a managed settings file enforced on the device that a user cannot override. That file is delivered by deployment or by device management rather than by the subscription, so the hardening in Part F does not depend on the tier at all.</w:t>
      </w:r>
    </w:p>
    <w:p>
      <w:pPr>
        <w:spacing w:after="160" w:line="240"/>
        <w:ind w:left="680"/>
        <w:jc w:val="both"/>
      </w:pPr>
      <w:r>
        <w:rPr>
          <w:rFonts w:ascii="Calibri" w:cs="Calibri" w:eastAsia="Calibri" w:hAnsi="Calibri"/>
          <w:b w:val="false"/>
          <w:bCs w:val="false"/>
          <w:i w:val="false"/>
          <w:iCs w:val="false"/>
          <w:sz w:val="21"/>
          <w:szCs w:val="21"/>
        </w:rPr>
        <w:t xml:space="preserve">What the tier does not provide is a zero retention arrangement, and the depth of audit record available above it. The audit record that is available captures access rather than the content of a session, so it does not show what was sent. The practice's own telemetry collector is the substitute, and on this tier it is not optional. What that collector records by default is that a session occurred, when, by whom and how much was sent, and not the content: prompt text is replaced with a redaction marker and only its length is retained, assistant responses are redacted on the same footing, and tool input and tool content are redacted in trace spans. The collector therefore evidences transmission, which is what the third limb of clause 8.8 asks of it. The content records required by clause 9.7 and clause 17.3 are made by hand under clause 17 on the matter file, unless content logging is deliberately enabled, in which case the collector becomes a store of privileged material and is secured, retained and disclosed on the same footing as the matter file.</w:t>
      </w:r>
    </w:p>
    <w:p>
      <w:pPr>
        <w:spacing w:after="160" w:line="240"/>
        <w:ind w:left="680"/>
        <w:jc w:val="both"/>
      </w:pPr>
      <w:r>
        <w:rPr>
          <w:rFonts w:ascii="Calibri" w:cs="Calibri" w:eastAsia="Calibri" w:hAnsi="Calibri"/>
          <w:b w:val="false"/>
          <w:bCs w:val="false"/>
          <w:i w:val="false"/>
          <w:iCs w:val="false"/>
          <w:sz w:val="21"/>
          <w:szCs w:val="21"/>
        </w:rPr>
        <w:t xml:space="preserve">Two consequences follow, and they are the practical difference between this tier and one with a zero retention arrangement. First, the prompts that offer to send a session transcript to the supplier are suppressed for an organisation holding such an arrangement and are not suppressed here, so the settings that disable the feedback, bug and share commands and the session survey are mandatory rather than prudent. Those channels retain material for five years and six months respectively, well beyond the thirty days that governs the session itself, and they are the only paths by which client material leaves for a materially longer period. Second, where a matter requires that a supplier retain nothing at all, whether because of a term imposed by the client or the sensitivity of the material, the answer is not a setting. It is a different route: a deployment within the practice's own cloud tenancy in an Australian region, redaction before the material is sent, or not using the tool for that matter.</w:t>
      </w:r>
    </w:p>
    <w:p>
      <w:pPr>
        <w:spacing w:after="160" w:line="240"/>
        <w:ind w:left="680"/>
        <w:jc w:val="both"/>
      </w:pPr>
      <w:r>
        <w:rPr>
          <w:rFonts w:ascii="Calibri" w:cs="Calibri" w:eastAsia="Calibri" w:hAnsi="Calibri"/>
          <w:b w:val="false"/>
          <w:bCs w:val="false"/>
          <w:i w:val="false"/>
          <w:iCs w:val="false"/>
          <w:sz w:val="21"/>
          <w:szCs w:val="21"/>
        </w:rPr>
        <w:t>Feature availability, including computer control and remote sessions, varies by product, account and release. Do not treat a feature as absent on the strength of a plan name. Record the current supplier evidence and verify the administrator controls for the actual deployment before relying on a feature restriction.</w:t>
      </w:r>
    </w:p>
    <w:p>
      <w:pPr>
        <w:pStyle w:val="Heading2"/>
        <w:spacing w:after="100" w:before="240"/>
      </w:pPr>
      <w:r>
        <w:rPr>
          <w:rFonts w:ascii="Calibri" w:cs="Calibri" w:eastAsia="Calibri" w:hAnsi="Calibri"/>
          <w:b/>
          <w:bCs/>
          <w:i w:val="false"/>
          <w:iCs w:val="false"/>
          <w:color w:val="000000"/>
          <w:sz w:val="21"/>
          <w:szCs w:val="21"/>
        </w:rPr>
        <w:t xml:space="preserve">Part F  Claude Code managed settings</w:t>
      </w:r>
    </w:p>
    <w:p>
      <w:pPr>
        <w:spacing w:after="160" w:line="240"/>
        <w:ind w:left="680"/>
        <w:jc w:val="both"/>
      </w:pPr>
      <w:r>
        <w:rPr>
          <w:rFonts w:ascii="Calibri" w:cs="Calibri" w:eastAsia="Calibri" w:hAnsi="Calibri"/>
          <w:b w:val="false"/>
          <w:bCs w:val="false"/>
          <w:i w:val="false"/>
          <w:iCs w:val="false"/>
          <w:sz w:val="21"/>
          <w:szCs w:val="21"/>
        </w:rPr>
        <w:t xml:space="preserve">Where Claude Code is used, the practice enforces a managed settings file that a user cannot override. It is deployed to /Library/Application Support/ClaudeCode/managed-settings.json on macOS, C:\Program Files\ClaudeCode\managed-settings.json on Windows, and /etc/claude-code/managed-settings.json on Linux and WSL, or delivered through device management. The settings that must be in force are those that close the channels carrying retention longer than the session itself, and those that prevent a user relaxing the controls.</w:t>
      </w:r>
    </w:p>
    <w:p>
      <w:pPr>
        <w:spacing w:after="160" w:line="240"/>
        <w:ind w:left="680"/>
        <w:jc w:val="left"/>
      </w:pPr>
      <w:r>
        <w:rPr>
          <w:rFonts w:ascii="Calibri" w:cs="Calibri" w:eastAsia="Calibri" w:hAnsi="Calibri"/>
          <w:b w:val="false"/>
          <w:bCs w:val="false"/>
          <w:i w:val="false"/>
          <w:iCs w:val="false"/>
          <w:sz w:val="21"/>
          <w:szCs w:val="21"/>
        </w:rPr>
        <w:t>The managed reference settings set CLAUDE_CODE_DISABLE_NONESSENTIAL_TRAFFIC, DISABLE_FEEDBACK_COMMAND and CLAUDE_CODE_DISABLE_FEEDBACK_SURVEY to 1. Metadata export to the approved collector is enabled separately. The personal convenience file also disables telemetry and error reporting and is not a substitute for managed deployment. Supplier-side retention and exceptions must be verified in the evidence file; client switches do not establish contractual retention.</w:t>
      </w:r>
    </w:p>
    <w:p>
      <w:pPr>
        <w:spacing w:after="160" w:line="240"/>
        <w:ind w:left="680"/>
        <w:jc w:val="left"/>
      </w:pPr>
      <w:r>
        <w:rPr>
          <w:rFonts w:ascii="Calibri" w:cs="Calibri" w:eastAsia="Calibri" w:hAnsi="Calibri"/>
          <w:b w:val="false"/>
          <w:bCs w:val="false"/>
          <w:i w:val="false"/>
          <w:iCs w:val="false"/>
          <w:sz w:val="21"/>
          <w:szCs w:val="21"/>
        </w:rPr>
        <w:t xml:space="preserve">The local plaintext transcript cache is shortened from its thirty-day default through cleanupPeriodDays, and may be disabled entirely with CLAUDE_CODE_SKIP_PROMPT_HISTORY at the cost of session resumption. That cache location is excluded from consumer file synchronisation under clause 16.3.</w:t>
      </w:r>
    </w:p>
    <w:p>
      <w:pPr>
        <w:spacing w:after="160" w:line="240"/>
        <w:ind w:left="680"/>
        <w:jc w:val="both"/>
      </w:pPr>
      <w:r>
        <w:rPr>
          <w:rFonts w:ascii="Calibri" w:cs="Calibri" w:eastAsia="Calibri" w:hAnsi="Calibri"/>
          <w:b w:val="false"/>
          <w:bCs w:val="false"/>
          <w:i w:val="false"/>
          <w:iCs w:val="false"/>
          <w:sz w:val="21"/>
          <w:szCs w:val="21"/>
        </w:rPr>
        <w:t xml:space="preserve">Publishing and relay surfaces are closed through disableArtifact, disableRemoteControl, disableClaudeAiConnectors and disableAgentView. Code arriving through plugins, skills, hooks and marketplaces is constrained through disableSkillShellExecution, disableSideloadFlags, strictKnownMarketplaces, allowManagedHooksOnly, allowManagedMcpServersOnly and an allowedMcpServers allowlist. Human approval is preserved through permissions.defaultMode, disableAutoMode and permissions.disableBypassPermissionsMode. Credential and egress paths are denied through permissions.deny. Sign-in is constrained through forceLoginMethod and forceLoginOrgUUID, and forceRemoteSettingsRefresh causes the client to exit rather than run on absent policy.</w:t>
      </w:r>
    </w:p>
    <w:p>
      <w:pPr>
        <w:spacing w:after="160" w:line="240"/>
        <w:ind w:left="680"/>
        <w:jc w:val="left"/>
      </w:pPr>
      <w:r>
        <w:rPr>
          <w:rFonts w:ascii="Calibri" w:cs="Calibri" w:eastAsia="Calibri" w:hAnsi="Calibri"/>
          <w:b w:val="false"/>
          <w:bCs w:val="false"/>
          <w:i w:val="false"/>
          <w:iCs w:val="false"/>
          <w:sz w:val="21"/>
          <w:szCs w:val="21"/>
        </w:rPr>
        <w:t>Telemetry to the approved collector is enabled through CLAUDE_CODE_ENABLE_TELEMETRY together with exporter, base endpoint and protocol variables. The managed template explicitly sets OTEL_LOG_USER_PROMPTS, OTEL_LOG_ASSISTANT_RESPONSES, OTEL_LOG_TOOL_DETAILS, OTEL_LOG_TOOL_CONTENT and OTEL_LOG_RAW_API_BODIES to 0. Leaving these unset can inherit content logging from another source. The collector records metadata, not a verbatim conversation. OAuth identity attributes may still be present and must be covered by the collector's retention and access controls. CLAUDE_CODE_SUBPROCESS_ENV_SCRUB is enabled to reduce child-process credential exposure. Verify the actual emitted data after deployment; client configuration is not evidence of supplier retention.</w:t>
      </w:r>
    </w:p>
    <w:p>
      <w:pPr>
        <w:spacing w:after="160" w:line="240"/>
        <w:ind w:left="680"/>
        <w:jc w:val="both"/>
      </w:pPr>
      <w:r>
        <w:rPr>
          <w:rFonts w:ascii="Calibri" w:cs="Calibri" w:eastAsia="Calibri" w:hAnsi="Calibri"/>
          <w:b w:val="false"/>
          <w:bCs w:val="false"/>
          <w:i w:val="false"/>
          <w:iCs w:val="false"/>
          <w:sz w:val="21"/>
          <w:szCs w:val="21"/>
        </w:rPr>
        <w:t xml:space="preserve">Where a zero retention arrangement is not available on the tier the practice holds, the settings in this Part are the whole of the control. The variables that disable the feedback, bug and share commands and the session survey must be in force before Claude Code is used on any client matter, and the practice's own OpenTelemetry collector must be configured, because between them they close the long-retention channels and supply the transmission record that nothing else on this tier provides. See Part E.</w:t>
      </w:r>
    </w:p>
    <w:p>
      <w:pPr>
        <w:spacing w:after="100"/>
      </w:pPr>
      <w:r>
        <w:t>The matter guard is a separate command hook in hooks/matter-guard.js. CLAUDE_MATTER_ROOTS identifies parent directories whose direct children are matters. The template uses warn mode for synthetic observation; rendered deployment settings require enforce mode. A session binds to one matter and SessionEnd copies its transcript to that matter's _ai-record folder unless an approved central record root is configured. The hook does not parse shell commands or replace operating-system isolation. Native Windows has no supported containment boundary for confidential matters. Confirm the installed hook, effective settings and approved host isolation before relying on these controls.</w:t>
      </w:r>
    </w:p>
    <w:p>
      <w:pPr>
        <w:pStyle w:val="Heading2"/>
        <w:spacing w:after="100" w:before="240"/>
      </w:pPr>
      <w:r>
        <w:rPr>
          <w:rFonts w:ascii="Calibri" w:cs="Calibri" w:eastAsia="Calibri" w:hAnsi="Calibri"/>
          <w:b/>
          <w:bCs/>
          <w:i w:val="false"/>
          <w:iCs w:val="false"/>
          <w:color w:val="000000"/>
          <w:sz w:val="21"/>
          <w:szCs w:val="21"/>
        </w:rPr>
        <w:t xml:space="preserve">Part G  Evidence required for each entry in Part A</w:t>
      </w:r>
    </w:p>
    <w:p>
      <w:pPr>
        <w:spacing w:after="160" w:line="240"/>
        <w:ind w:left="680"/>
        <w:jc w:val="both"/>
      </w:pPr>
      <w:r>
        <w:rPr>
          <w:rFonts w:ascii="Calibri" w:cs="Calibri" w:eastAsia="Calibri" w:hAnsi="Calibri"/>
          <w:b w:val="false"/>
          <w:bCs w:val="false"/>
          <w:i w:val="false"/>
          <w:iCs w:val="false"/>
          <w:sz w:val="21"/>
          <w:szCs w:val="21"/>
        </w:rPr>
        <w:t xml:space="preserve">The executed agreement and data processing terms. The term recording that inputs and outputs are not used to train any model. The retention period and the setting that establishes it. The supplier's written statement of where data is processed and stored, and the basis on which Australian Privacy Principle 8 is satisfied if that is outside Australia. The list of sub-processors and confirmation that the training and retention position binds each of them. A record of the administrator-enforced settings as they stand, sufficient to show that they are not user-held. The logging or audit record available to the practice, or a note of its absence.</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9  Quick reference</w:t>
      </w:r>
    </w:p>
    <w:p>
      <w:pPr>
        <w:spacing w:after="200" w:line="240"/>
        <w:ind w:left="340" w:right="340"/>
        <w:jc w:val="both"/>
      </w:pPr>
      <w:r>
        <w:rPr>
          <w:rFonts w:ascii="Calibri" w:cs="Calibri" w:eastAsia="Calibri" w:hAnsi="Calibri"/>
          <w:b w:val="false"/>
          <w:bCs w:val="false"/>
          <w:i/>
          <w:iCs/>
          <w:color w:val="595959"/>
          <w:sz w:val="19"/>
          <w:szCs w:val="19"/>
        </w:rPr>
        <w:t xml:space="preserve">A summary for daily use. It does not replace the policy.</w:t>
      </w:r>
    </w:p>
    <w:p>
      <w:pPr>
        <w:spacing w:after="160" w:line="240"/>
        <w:ind w:left="680"/>
        <w:jc w:val="both"/>
      </w:pPr>
      <w:r>
        <w:rPr>
          <w:rFonts w:ascii="Calibri" w:cs="Calibri" w:eastAsia="Calibri" w:hAnsi="Calibri"/>
          <w:b w:val="false"/>
          <w:bCs w:val="false"/>
          <w:i w:val="false"/>
          <w:iCs w:val="false"/>
          <w:sz w:val="21"/>
          <w:szCs w:val="21"/>
        </w:rPr>
        <w:t xml:space="preserve">Use only a tool listed in Schedule 1, through the practice account. Never a personal or free account.</w:t>
      </w:r>
    </w:p>
    <w:p>
      <w:pPr>
        <w:spacing w:after="160" w:line="240"/>
        <w:ind w:left="680"/>
        <w:jc w:val="both"/>
      </w:pPr>
      <w:r>
        <w:rPr>
          <w:rFonts w:ascii="Calibri" w:cs="Calibri" w:eastAsia="Calibri" w:hAnsi="Calibri"/>
          <w:b w:val="false"/>
          <w:bCs w:val="false"/>
          <w:i w:val="false"/>
          <w:iCs w:val="false"/>
          <w:sz w:val="21"/>
          <w:szCs w:val="21"/>
        </w:rPr>
        <w:t xml:space="preserve">Never write the words of an affidavit, a witness statement or a character reference with a tool, and never use one to reword a witness's evidence. It must be the witness's own words.</w:t>
      </w:r>
    </w:p>
    <w:p>
      <w:pPr>
        <w:spacing w:after="160" w:line="240"/>
        <w:ind w:left="680"/>
        <w:jc w:val="both"/>
      </w:pPr>
      <w:r>
        <w:rPr>
          <w:rFonts w:ascii="Calibri" w:cs="Calibri" w:eastAsia="Calibri" w:hAnsi="Calibri"/>
          <w:b w:val="false"/>
          <w:bCs w:val="false"/>
          <w:i w:val="false"/>
          <w:iCs w:val="false"/>
          <w:sz w:val="21"/>
          <w:szCs w:val="21"/>
        </w:rPr>
        <w:t xml:space="preserve">Before anything is filed or sent, open the judgment or the section and read it yourself. Asking the tool to confirm its own citation is not verification, and neither is asking a second tool.</w:t>
      </w:r>
    </w:p>
    <w:p>
      <w:pPr>
        <w:spacing w:after="160" w:line="240"/>
        <w:ind w:left="680"/>
        <w:jc w:val="both"/>
      </w:pPr>
      <w:r>
        <w:rPr>
          <w:rFonts w:ascii="Calibri" w:cs="Calibri" w:eastAsia="Calibri" w:hAnsi="Calibri"/>
          <w:b w:val="false"/>
          <w:bCs w:val="false"/>
          <w:i w:val="false"/>
          <w:iCs w:val="false"/>
          <w:sz w:val="21"/>
          <w:szCs w:val="21"/>
        </w:rPr>
        <w:t xml:space="preserve">Be able to point to the parts of the document a tool helped produce, and to say who verified them and how. You may be asked.</w:t>
      </w:r>
    </w:p>
    <w:p>
      <w:pPr>
        <w:spacing w:after="160" w:line="240"/>
        <w:ind w:left="680"/>
        <w:jc w:val="both"/>
      </w:pPr>
      <w:r>
        <w:rPr>
          <w:rFonts w:ascii="Calibri" w:cs="Calibri" w:eastAsia="Calibri" w:hAnsi="Calibri"/>
          <w:b w:val="false"/>
          <w:bCs w:val="false"/>
          <w:i w:val="false"/>
          <w:iCs w:val="false"/>
          <w:sz w:val="21"/>
          <w:szCs w:val="21"/>
        </w:rPr>
        <w:t xml:space="preserve">Subpoenaed material, discovery from the other side, anything under a suppression order, and anything about children: stop and get an approval under clause 8 first.</w:t>
      </w:r>
    </w:p>
    <w:p>
      <w:pPr>
        <w:spacing w:after="160" w:line="240"/>
        <w:ind w:left="680"/>
        <w:jc w:val="both"/>
      </w:pPr>
      <w:r>
        <w:rPr>
          <w:rFonts w:ascii="Calibri" w:cs="Calibri" w:eastAsia="Calibri" w:hAnsi="Calibri"/>
          <w:b w:val="false"/>
          <w:bCs w:val="false"/>
          <w:i w:val="false"/>
          <w:iCs w:val="false"/>
          <w:sz w:val="21"/>
          <w:szCs w:val="21"/>
        </w:rPr>
        <w:t xml:space="preserve">Check the client's own terms. Some clients prohibit this entirely, and some require onshore hosting.</w:t>
      </w:r>
    </w:p>
    <w:p>
      <w:pPr>
        <w:spacing w:after="160" w:line="240"/>
        <w:ind w:left="680"/>
        <w:jc w:val="both"/>
      </w:pPr>
      <w:r>
        <w:rPr>
          <w:rFonts w:ascii="Calibri" w:cs="Calibri" w:eastAsia="Calibri" w:hAnsi="Calibri"/>
          <w:b w:val="false"/>
          <w:bCs w:val="false"/>
          <w:i w:val="false"/>
          <w:iCs w:val="false"/>
          <w:sz w:val="21"/>
          <w:szCs w:val="21"/>
        </w:rPr>
        <w:t xml:space="preserve">Affidavits need the disclosure that AI was not used, whether or not it was.</w:t>
      </w:r>
    </w:p>
    <w:p>
      <w:pPr>
        <w:spacing w:after="160" w:line="240"/>
        <w:ind w:left="680"/>
        <w:jc w:val="both"/>
      </w:pPr>
      <w:r>
        <w:rPr>
          <w:rFonts w:ascii="Calibri" w:cs="Calibri" w:eastAsia="Calibri" w:hAnsi="Calibri"/>
          <w:b w:val="false"/>
          <w:bCs w:val="false"/>
          <w:i w:val="false"/>
          <w:iCs w:val="false"/>
          <w:sz w:val="21"/>
          <w:szCs w:val="21"/>
        </w:rPr>
        <w:t xml:space="preserve">Bill the time you spent, not the time the task used to take.</w:t>
      </w:r>
    </w:p>
    <w:p>
      <w:pPr>
        <w:spacing w:after="160" w:line="240"/>
        <w:ind w:left="680"/>
        <w:jc w:val="both"/>
      </w:pPr>
      <w:r>
        <w:rPr>
          <w:rFonts w:ascii="Calibri" w:cs="Calibri" w:eastAsia="Calibri" w:hAnsi="Calibri"/>
          <w:b w:val="false"/>
          <w:bCs w:val="false"/>
          <w:i w:val="false"/>
          <w:iCs w:val="false"/>
          <w:sz w:val="21"/>
          <w:szCs w:val="21"/>
        </w:rPr>
        <w:t xml:space="preserve">Tell your supervisor when you have used a tool on a document.</w:t>
      </w:r>
    </w:p>
    <w:p>
      <w:pPr>
        <w:spacing w:after="160" w:line="240"/>
        <w:ind w:left="680"/>
        <w:jc w:val="both"/>
      </w:pPr>
      <w:r>
        <w:rPr>
          <w:rFonts w:ascii="Calibri" w:cs="Calibri" w:eastAsia="Calibri" w:hAnsi="Calibri"/>
          <w:b w:val="false"/>
          <w:bCs w:val="false"/>
          <w:i w:val="false"/>
          <w:iCs w:val="false"/>
          <w:sz w:val="21"/>
          <w:szCs w:val="21"/>
        </w:rPr>
        <w:t xml:space="preserve">If something has gone wrong, tell the AI Officer today. Reporting is not the disciplinary problem. Not reporting is.</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10  Acknowledgment</w:t>
      </w:r>
    </w:p>
    <w:p>
      <w:pPr>
        <w:spacing w:after="160" w:line="240"/>
        <w:ind w:left="680"/>
        <w:jc w:val="both"/>
      </w:pPr>
      <w:r>
        <w:rPr>
          <w:rFonts w:ascii="Calibri" w:cs="Calibri" w:eastAsia="Calibri" w:hAnsi="Calibri"/>
          <w:b w:val="false"/>
          <w:bCs w:val="false"/>
          <w:i w:val="false"/>
          <w:iCs w:val="false"/>
          <w:sz w:val="21"/>
          <w:szCs w:val="21"/>
        </w:rPr>
        <w:t xml:space="preserve">I have read the Policy on the Use of Artificial Intelligence in Legal Practice. I understand it, I understand that it applies to my use of artificial intelligence whether on a practice device or my own, and I agree to comply with it. I understand that I must report a suspected breach to the AI Officer on the day I become aware of it.</w:t>
      </w:r>
    </w:p>
    <w:p>
      <w:pPr>
        <w:spacing w:after="360"/>
      </w:pPr>
      <w:r>
        <w:rPr>
          <w:rFonts w:ascii="Calibri" w:cs="Calibri" w:eastAsia="Calibri" w:hAnsi="Calibri"/>
          <w:b w:val="false"/>
          <w:bCs w:val="false"/>
          <w:i w:val="false"/>
          <w:iCs w:val="false"/>
          <w:sz w:val="21"/>
          <w:szCs w:val="21"/>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Name</w:t>
            </w:r>
          </w:p>
        </w:tc>
        <w:tc>
          <w:tcPr>
            <w:tcW w:type="dxa" w:w="6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Position</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Signature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4040" w:sz="6" w:space="6"/>
      </w:pBdr>
      <w:jc w:val="right"/>
    </w:pPr>
    <w:r>
      <w:rPr>
        <w:rFonts w:ascii="Calibri" w:cs="Calibri" w:eastAsia="Calibri" w:hAnsi="Calibri"/>
        <w:color w:val="595959"/>
        <w:sz w:val="17"/>
        <w:szCs w:val="17"/>
      </w:rPr>
      <w:t xml:space="preserve">Policy on the Use of Artificial Intelligence in Legal Practice   |   Version 1.0   |   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2026-07-29T08:05:54.157Z</dcterms:created>
  <dcterms:modified xsi:type="dcterms:W3CDTF">2026-07-29T08:05:54.174Z</dcterms:modified>
</cp:coreProperties>
</file>

<file path=docProps/custom.xml><?xml version="1.0" encoding="utf-8"?>
<Properties xmlns="http://schemas.openxmlformats.org/officeDocument/2006/custom-properties" xmlns:vt="http://schemas.openxmlformats.org/officeDocument/2006/docPropsVTypes"/>
</file>