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i w:val="false"/>
          <w:iCs w:val="false"/>
          <w:sz w:val="34"/>
          <w:szCs w:val="34"/>
        </w:rPr>
        <w:t xml:space="preserve">Policy on the Use of Artificial Intelligence in Legal Practice</w:t>
      </w:r>
    </w:p>
    <w:p>
      <w:pPr>
        <w:pBdr>
          <w:bottom w:val="single" w:color="BFBFBF" w:sz="6" w:space="8"/>
        </w:pBdr>
        <w:spacing w:after="240"/>
      </w:pPr>
      <w:r>
        <w:rPr>
          <w:rFonts w:ascii="Calibri" w:cs="Calibri" w:eastAsia="Calibri" w:hAnsi="Calibri"/>
          <w:b w:val="false"/>
          <w:bCs w:val="false"/>
          <w:i w:val="false"/>
          <w:iCs w:val="false"/>
          <w:color w:val="595959"/>
          <w:sz w:val="22"/>
          <w:szCs w:val="22"/>
        </w:rPr>
        <w:t xml:space="preserve">A template for Australian legal practices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1500"/>
        <w:gridCol w:w="2200"/>
      </w:tblGrid>
      <w:tr>
        <w:trPr>
          <w:tblHeader/>
        </w:trPr>
        <w:tc>
          <w:tcPr>
            <w:tcW w:type="dxa" w:w="19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Field</w:t>
            </w:r>
          </w:p>
        </w:tc>
        <w:tc>
          <w:tcPr>
            <w:tcW w:type="dxa" w:w="3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Detail</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Version</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History</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Policy owner</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[Name or position]</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2.0</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Adopted</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Approved by</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[Principals or board]</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Effective from</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Next review</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not later than 12 months]</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Applies to</w:t>
            </w:r>
          </w:p>
        </w:tc>
        <w:tc>
          <w:tcPr>
            <w:tcW w:type="dxa" w:w="3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All personnel and contractors</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pPr>
        <w:spacing w:after="240"/>
      </w:pPr>
      <w:r>
        <w:rPr>
          <w:rFonts w:ascii="Calibri" w:cs="Calibri" w:eastAsia="Calibri" w:hAnsi="Calibri"/>
          <w:b w:val="false"/>
          <w:bCs w:val="false"/>
          <w:i w:val="false"/>
          <w:iCs w:val="false"/>
          <w:sz w:val="21"/>
          <w:szCs w:val="21"/>
        </w:rPr>
        <w:t xml:space="preserve"/>
      </w:r>
    </w:p>
    <w:p>
      <w:pPr>
        <w:spacing w:after="200" w:line="252"/>
        <w:ind w:left="340" w:right="340"/>
        <w:jc w:val="both"/>
      </w:pPr>
      <w:r>
        <w:rPr>
          <w:rFonts w:ascii="Calibri" w:cs="Calibri" w:eastAsia="Calibri" w:hAnsi="Calibri"/>
          <w:b w:val="false"/>
          <w:bCs w:val="false"/>
          <w:i/>
          <w:iCs/>
          <w:color w:val="595959"/>
          <w:sz w:val="19"/>
          <w:szCs w:val="19"/>
        </w:rPr>
        <w:t xml:space="preserve">This is a template. Text in square brackets must be completed, and every clause should be reviewed against the practice's own structure, practice areas, jurisdictions and insurance arrangements before adoption. Clause 6 and Schedule 1 do not operate until the practice has decided which tools it approves. Schedule 5 must be completed with the instruments in force in each jurisdiction in which the practice appears. Clause 9 states the verification standard and is the clause most often departed from in practice.</w:t>
      </w:r>
    </w:p>
    <w:p>
      <w:pPr>
        <w:spacing w:after="140" w:before="200"/>
      </w:pPr>
      <w:r>
        <w:rPr>
          <w:rFonts w:ascii="Calibri" w:cs="Calibri" w:eastAsia="Calibri" w:hAnsi="Calibri"/>
          <w:b/>
          <w:bCs/>
          <w:i w:val="false"/>
          <w:iCs w:val="false"/>
          <w:sz w:val="25"/>
          <w:szCs w:val="25"/>
        </w:rPr>
        <w:t xml:space="preserve">Contents</w:t>
      </w:r>
    </w:p>
    <w:p>
      <w:pPr>
        <w:spacing w:after="40"/>
        <w:ind w:left="340"/>
      </w:pPr>
      <w:r>
        <w:rPr>
          <w:rFonts w:ascii="Calibri" w:cs="Calibri" w:eastAsia="Calibri" w:hAnsi="Calibri"/>
          <w:b w:val="false"/>
          <w:bCs w:val="false"/>
          <w:i w:val="false"/>
          <w:iCs w:val="false"/>
          <w:sz w:val="20"/>
          <w:szCs w:val="20"/>
        </w:rPr>
        <w:t xml:space="preserve">1  Purpose</w:t>
      </w:r>
    </w:p>
    <w:p>
      <w:pPr>
        <w:spacing w:after="40"/>
        <w:ind w:left="340"/>
      </w:pPr>
      <w:r>
        <w:rPr>
          <w:rFonts w:ascii="Calibri" w:cs="Calibri" w:eastAsia="Calibri" w:hAnsi="Calibri"/>
          <w:b w:val="false"/>
          <w:bCs w:val="false"/>
          <w:i w:val="false"/>
          <w:iCs w:val="false"/>
          <w:sz w:val="20"/>
          <w:szCs w:val="20"/>
        </w:rPr>
        <w:t xml:space="preserve">2  Application</w:t>
      </w:r>
    </w:p>
    <w:p>
      <w:pPr>
        <w:spacing w:after="40"/>
        <w:ind w:left="340"/>
      </w:pPr>
      <w:r>
        <w:rPr>
          <w:rFonts w:ascii="Calibri" w:cs="Calibri" w:eastAsia="Calibri" w:hAnsi="Calibri"/>
          <w:b w:val="false"/>
          <w:bCs w:val="false"/>
          <w:i w:val="false"/>
          <w:iCs w:val="false"/>
          <w:sz w:val="20"/>
          <w:szCs w:val="20"/>
        </w:rPr>
        <w:t xml:space="preserve">3  Definitions</w:t>
      </w:r>
    </w:p>
    <w:p>
      <w:pPr>
        <w:spacing w:after="40"/>
        <w:ind w:left="340"/>
      </w:pPr>
      <w:r>
        <w:rPr>
          <w:rFonts w:ascii="Calibri" w:cs="Calibri" w:eastAsia="Calibri" w:hAnsi="Calibri"/>
          <w:b w:val="false"/>
          <w:bCs w:val="false"/>
          <w:i w:val="false"/>
          <w:iCs w:val="false"/>
          <w:sz w:val="20"/>
          <w:szCs w:val="20"/>
        </w:rPr>
        <w:t xml:space="preserve">4  The obligations this policy serves</w:t>
      </w:r>
    </w:p>
    <w:p>
      <w:pPr>
        <w:spacing w:after="40"/>
        <w:ind w:left="340"/>
      </w:pPr>
      <w:r>
        <w:rPr>
          <w:rFonts w:ascii="Calibri" w:cs="Calibri" w:eastAsia="Calibri" w:hAnsi="Calibri"/>
          <w:b w:val="false"/>
          <w:bCs w:val="false"/>
          <w:i w:val="false"/>
          <w:iCs w:val="false"/>
          <w:sz w:val="20"/>
          <w:szCs w:val="20"/>
        </w:rPr>
        <w:t xml:space="preserve">5  Suitability</w:t>
      </w:r>
    </w:p>
    <w:p>
      <w:pPr>
        <w:spacing w:after="40"/>
        <w:ind w:left="340"/>
      </w:pPr>
      <w:r>
        <w:rPr>
          <w:rFonts w:ascii="Calibri" w:cs="Calibri" w:eastAsia="Calibri" w:hAnsi="Calibri"/>
          <w:b w:val="false"/>
          <w:bCs w:val="false"/>
          <w:i w:val="false"/>
          <w:iCs w:val="false"/>
          <w:sz w:val="20"/>
          <w:szCs w:val="20"/>
        </w:rPr>
        <w:t xml:space="preserve">6  Approved tools</w:t>
      </w:r>
    </w:p>
    <w:p>
      <w:pPr>
        <w:spacing w:after="40"/>
        <w:ind w:left="340"/>
      </w:pPr>
      <w:r>
        <w:rPr>
          <w:rFonts w:ascii="Calibri" w:cs="Calibri" w:eastAsia="Calibri" w:hAnsi="Calibri"/>
          <w:b w:val="false"/>
          <w:bCs w:val="false"/>
          <w:i w:val="false"/>
          <w:iCs w:val="false"/>
          <w:sz w:val="20"/>
          <w:szCs w:val="20"/>
        </w:rPr>
        <w:t xml:space="preserve">7  Prohibited uses</w:t>
      </w:r>
    </w:p>
    <w:p>
      <w:pPr>
        <w:spacing w:after="40"/>
        <w:ind w:left="340"/>
      </w:pPr>
      <w:r>
        <w:rPr>
          <w:rFonts w:ascii="Calibri" w:cs="Calibri" w:eastAsia="Calibri" w:hAnsi="Calibri"/>
          <w:b w:val="false"/>
          <w:bCs w:val="false"/>
          <w:i w:val="false"/>
          <w:iCs w:val="false"/>
          <w:sz w:val="20"/>
          <w:szCs w:val="20"/>
        </w:rPr>
        <w:t xml:space="preserve">8  Restricted information</w:t>
      </w:r>
    </w:p>
    <w:p>
      <w:pPr>
        <w:spacing w:after="40"/>
        <w:ind w:left="340"/>
      </w:pPr>
      <w:r>
        <w:rPr>
          <w:rFonts w:ascii="Calibri" w:cs="Calibri" w:eastAsia="Calibri" w:hAnsi="Calibri"/>
          <w:b w:val="false"/>
          <w:bCs w:val="false"/>
          <w:i w:val="false"/>
          <w:iCs w:val="false"/>
          <w:sz w:val="20"/>
          <w:szCs w:val="20"/>
        </w:rPr>
        <w:t xml:space="preserve">9  Verification</w:t>
      </w:r>
    </w:p>
    <w:p>
      <w:pPr>
        <w:spacing w:after="40"/>
        <w:ind w:left="340"/>
      </w:pPr>
      <w:r>
        <w:rPr>
          <w:rFonts w:ascii="Calibri" w:cs="Calibri" w:eastAsia="Calibri" w:hAnsi="Calibri"/>
          <w:b w:val="false"/>
          <w:bCs w:val="false"/>
          <w:i w:val="false"/>
          <w:iCs w:val="false"/>
          <w:sz w:val="20"/>
          <w:szCs w:val="20"/>
        </w:rPr>
        <w:t xml:space="preserve">10  Disclosure to courts and tribunals</w:t>
      </w:r>
    </w:p>
    <w:p>
      <w:pPr>
        <w:spacing w:after="40"/>
        <w:ind w:left="340"/>
      </w:pPr>
      <w:r>
        <w:rPr>
          <w:rFonts w:ascii="Calibri" w:cs="Calibri" w:eastAsia="Calibri" w:hAnsi="Calibri"/>
          <w:b w:val="false"/>
          <w:bCs w:val="false"/>
          <w:i w:val="false"/>
          <w:iCs w:val="false"/>
          <w:sz w:val="20"/>
          <w:szCs w:val="20"/>
        </w:rPr>
        <w:t xml:space="preserve">11  Experts and counsel</w:t>
      </w:r>
    </w:p>
    <w:p>
      <w:pPr>
        <w:spacing w:after="40"/>
        <w:ind w:left="340"/>
      </w:pPr>
      <w:r>
        <w:rPr>
          <w:rFonts w:ascii="Calibri" w:cs="Calibri" w:eastAsia="Calibri" w:hAnsi="Calibri"/>
          <w:b w:val="false"/>
          <w:bCs w:val="false"/>
          <w:i w:val="false"/>
          <w:iCs w:val="false"/>
          <w:sz w:val="20"/>
          <w:szCs w:val="20"/>
        </w:rPr>
        <w:t xml:space="preserve">12  Clients</w:t>
      </w:r>
    </w:p>
    <w:p>
      <w:pPr>
        <w:spacing w:after="40"/>
        <w:ind w:left="340"/>
      </w:pPr>
      <w:r>
        <w:rPr>
          <w:rFonts w:ascii="Calibri" w:cs="Calibri" w:eastAsia="Calibri" w:hAnsi="Calibri"/>
          <w:b w:val="false"/>
          <w:bCs w:val="false"/>
          <w:i w:val="false"/>
          <w:iCs w:val="false"/>
          <w:sz w:val="20"/>
          <w:szCs w:val="20"/>
        </w:rPr>
        <w:t xml:space="preserve">13  Supervision</w:t>
      </w:r>
    </w:p>
    <w:p>
      <w:pPr>
        <w:spacing w:after="40"/>
        <w:ind w:left="340"/>
      </w:pPr>
      <w:r>
        <w:rPr>
          <w:rFonts w:ascii="Calibri" w:cs="Calibri" w:eastAsia="Calibri" w:hAnsi="Calibri"/>
          <w:b w:val="false"/>
          <w:bCs w:val="false"/>
          <w:i w:val="false"/>
          <w:iCs w:val="false"/>
          <w:sz w:val="20"/>
          <w:szCs w:val="20"/>
        </w:rPr>
        <w:t xml:space="preserve">14  Costs</w:t>
      </w:r>
    </w:p>
    <w:p>
      <w:pPr>
        <w:spacing w:after="40"/>
        <w:ind w:left="340"/>
      </w:pPr>
      <w:r>
        <w:rPr>
          <w:rFonts w:ascii="Calibri" w:cs="Calibri" w:eastAsia="Calibri" w:hAnsi="Calibri"/>
          <w:b w:val="false"/>
          <w:bCs w:val="false"/>
          <w:i w:val="false"/>
          <w:iCs w:val="false"/>
          <w:sz w:val="20"/>
          <w:szCs w:val="20"/>
        </w:rPr>
        <w:t xml:space="preserve">15  Privacy and information security</w:t>
      </w:r>
    </w:p>
    <w:p>
      <w:pPr>
        <w:spacing w:after="40"/>
        <w:ind w:left="340"/>
      </w:pPr>
      <w:r>
        <w:rPr>
          <w:rFonts w:ascii="Calibri" w:cs="Calibri" w:eastAsia="Calibri" w:hAnsi="Calibri"/>
          <w:b w:val="false"/>
          <w:bCs w:val="false"/>
          <w:i w:val="false"/>
          <w:iCs w:val="false"/>
          <w:sz w:val="20"/>
          <w:szCs w:val="20"/>
        </w:rPr>
        <w:t xml:space="preserve">16  Records</w:t>
      </w:r>
    </w:p>
    <w:p>
      <w:pPr>
        <w:spacing w:after="40"/>
        <w:ind w:left="340"/>
      </w:pPr>
      <w:r>
        <w:rPr>
          <w:rFonts w:ascii="Calibri" w:cs="Calibri" w:eastAsia="Calibri" w:hAnsi="Calibri"/>
          <w:b w:val="false"/>
          <w:bCs w:val="false"/>
          <w:i w:val="false"/>
          <w:iCs w:val="false"/>
          <w:sz w:val="20"/>
          <w:szCs w:val="20"/>
        </w:rPr>
        <w:t xml:space="preserve">17  Training</w:t>
      </w:r>
    </w:p>
    <w:p>
      <w:pPr>
        <w:spacing w:after="40"/>
        <w:ind w:left="340"/>
      </w:pPr>
      <w:r>
        <w:rPr>
          <w:rFonts w:ascii="Calibri" w:cs="Calibri" w:eastAsia="Calibri" w:hAnsi="Calibri"/>
          <w:b w:val="false"/>
          <w:bCs w:val="false"/>
          <w:i w:val="false"/>
          <w:iCs w:val="false"/>
          <w:sz w:val="20"/>
          <w:szCs w:val="20"/>
        </w:rPr>
        <w:t xml:space="preserve">18  Responsibility</w:t>
      </w:r>
    </w:p>
    <w:p>
      <w:pPr>
        <w:spacing w:after="40"/>
        <w:ind w:left="340"/>
      </w:pPr>
      <w:r>
        <w:rPr>
          <w:rFonts w:ascii="Calibri" w:cs="Calibri" w:eastAsia="Calibri" w:hAnsi="Calibri"/>
          <w:b w:val="false"/>
          <w:bCs w:val="false"/>
          <w:i w:val="false"/>
          <w:iCs w:val="false"/>
          <w:sz w:val="20"/>
          <w:szCs w:val="20"/>
        </w:rPr>
        <w:t xml:space="preserve">19  Incidents</w:t>
      </w:r>
    </w:p>
    <w:p>
      <w:pPr>
        <w:spacing w:after="40"/>
        <w:ind w:left="340"/>
      </w:pPr>
      <w:r>
        <w:rPr>
          <w:rFonts w:ascii="Calibri" w:cs="Calibri" w:eastAsia="Calibri" w:hAnsi="Calibri"/>
          <w:b w:val="false"/>
          <w:bCs w:val="false"/>
          <w:i w:val="false"/>
          <w:iCs w:val="false"/>
          <w:sz w:val="20"/>
          <w:szCs w:val="20"/>
        </w:rPr>
        <w:t xml:space="preserve">20  Compliance and consequences</w:t>
      </w:r>
    </w:p>
    <w:p>
      <w:pPr>
        <w:spacing w:after="40"/>
        <w:ind w:left="340"/>
      </w:pPr>
      <w:r>
        <w:rPr>
          <w:rFonts w:ascii="Calibri" w:cs="Calibri" w:eastAsia="Calibri" w:hAnsi="Calibri"/>
          <w:b w:val="false"/>
          <w:bCs w:val="false"/>
          <w:i w:val="false"/>
          <w:iCs w:val="false"/>
          <w:sz w:val="20"/>
          <w:szCs w:val="20"/>
        </w:rPr>
        <w:t xml:space="preserve">21  Exceptions and review</w:t>
      </w:r>
    </w:p>
    <w:p>
      <w:pPr>
        <w:spacing w:after="40"/>
        <w:ind w:left="340"/>
      </w:pPr>
      <w:r>
        <w:rPr>
          <w:rFonts w:ascii="Calibri" w:cs="Calibri" w:eastAsia="Calibri" w:hAnsi="Calibri"/>
          <w:b w:val="false"/>
          <w:bCs w:val="false"/>
          <w:i w:val="false"/>
          <w:iCs w:val="false"/>
          <w:sz w:val="20"/>
          <w:szCs w:val="20"/>
        </w:rPr>
        <w:t xml:space="preserve">Schedule 1  Approved Tools Register</w:t>
      </w:r>
    </w:p>
    <w:p>
      <w:pPr>
        <w:spacing w:after="40"/>
        <w:ind w:left="340"/>
      </w:pPr>
      <w:r>
        <w:rPr>
          <w:rFonts w:ascii="Calibri" w:cs="Calibri" w:eastAsia="Calibri" w:hAnsi="Calibri"/>
          <w:b w:val="false"/>
          <w:bCs w:val="false"/>
          <w:i w:val="false"/>
          <w:iCs w:val="false"/>
          <w:sz w:val="20"/>
          <w:szCs w:val="20"/>
        </w:rPr>
        <w:t xml:space="preserve">Schedule 2  AI Use Record</w:t>
      </w:r>
    </w:p>
    <w:p>
      <w:pPr>
        <w:spacing w:after="40"/>
        <w:ind w:left="340"/>
      </w:pPr>
      <w:r>
        <w:rPr>
          <w:rFonts w:ascii="Calibri" w:cs="Calibri" w:eastAsia="Calibri" w:hAnsi="Calibri"/>
          <w:b w:val="false"/>
          <w:bCs w:val="false"/>
          <w:i w:val="false"/>
          <w:iCs w:val="false"/>
          <w:sz w:val="20"/>
          <w:szCs w:val="20"/>
        </w:rPr>
        <w:t xml:space="preserve">Schedule 3  Standard wordings</w:t>
      </w:r>
    </w:p>
    <w:p>
      <w:pPr>
        <w:spacing w:after="40"/>
        <w:ind w:left="340"/>
      </w:pPr>
      <w:r>
        <w:rPr>
          <w:rFonts w:ascii="Calibri" w:cs="Calibri" w:eastAsia="Calibri" w:hAnsi="Calibri"/>
          <w:b w:val="false"/>
          <w:bCs w:val="false"/>
          <w:i w:val="false"/>
          <w:iCs w:val="false"/>
          <w:sz w:val="20"/>
          <w:szCs w:val="20"/>
        </w:rPr>
        <w:t xml:space="preserve">Schedule 4  Restricted information approval</w:t>
      </w:r>
    </w:p>
    <w:p>
      <w:pPr>
        <w:spacing w:after="40"/>
        <w:ind w:left="340"/>
      </w:pPr>
      <w:r>
        <w:rPr>
          <w:rFonts w:ascii="Calibri" w:cs="Calibri" w:eastAsia="Calibri" w:hAnsi="Calibri"/>
          <w:b w:val="false"/>
          <w:bCs w:val="false"/>
          <w:i w:val="false"/>
          <w:iCs w:val="false"/>
          <w:sz w:val="20"/>
          <w:szCs w:val="20"/>
        </w:rPr>
        <w:t xml:space="preserve">Schedule 5  Court and tribunal instruments</w:t>
      </w:r>
    </w:p>
    <w:p>
      <w:pPr>
        <w:spacing w:after="40"/>
        <w:ind w:left="340"/>
      </w:pPr>
      <w:r>
        <w:rPr>
          <w:rFonts w:ascii="Calibri" w:cs="Calibri" w:eastAsia="Calibri" w:hAnsi="Calibri"/>
          <w:b w:val="false"/>
          <w:bCs w:val="false"/>
          <w:i w:val="false"/>
          <w:iCs w:val="false"/>
          <w:sz w:val="20"/>
          <w:szCs w:val="20"/>
        </w:rPr>
        <w:t xml:space="preserve">Schedule 6  Suitability path</w:t>
      </w:r>
    </w:p>
    <w:p>
      <w:pPr>
        <w:spacing w:after="40"/>
        <w:ind w:left="340"/>
      </w:pPr>
      <w:r>
        <w:rPr>
          <w:rFonts w:ascii="Calibri" w:cs="Calibri" w:eastAsia="Calibri" w:hAnsi="Calibri"/>
          <w:b w:val="false"/>
          <w:bCs w:val="false"/>
          <w:i w:val="false"/>
          <w:iCs w:val="false"/>
          <w:sz w:val="20"/>
          <w:szCs w:val="20"/>
        </w:rPr>
        <w:t xml:space="preserve">Schedule 7  Indicators of unverified or undisclosed use</w:t>
      </w:r>
    </w:p>
    <w:p>
      <w:pPr>
        <w:spacing w:after="40"/>
        <w:ind w:left="340"/>
      </w:pPr>
      <w:r>
        <w:rPr>
          <w:rFonts w:ascii="Calibri" w:cs="Calibri" w:eastAsia="Calibri" w:hAnsi="Calibri"/>
          <w:b w:val="false"/>
          <w:bCs w:val="false"/>
          <w:i w:val="false"/>
          <w:iCs w:val="false"/>
          <w:sz w:val="20"/>
          <w:szCs w:val="20"/>
        </w:rPr>
        <w:t xml:space="preserve">Schedule 8  Quick reference</w:t>
      </w:r>
    </w:p>
    <w:p>
      <w:pPr>
        <w:spacing w:after="40"/>
        <w:ind w:left="340"/>
      </w:pPr>
      <w:r>
        <w:rPr>
          <w:rFonts w:ascii="Calibri" w:cs="Calibri" w:eastAsia="Calibri" w:hAnsi="Calibri"/>
          <w:b w:val="false"/>
          <w:bCs w:val="false"/>
          <w:i w:val="false"/>
          <w:iCs w:val="false"/>
          <w:sz w:val="20"/>
          <w:szCs w:val="20"/>
        </w:rPr>
        <w:t xml:space="preserve">Schedule 9  Acknowledgment</w:t>
      </w:r>
    </w:p>
    <w:p>
      <w:r>
        <w:br w:type="page"/>
      </w:r>
    </w:p>
    <w:p>
      <w:pPr>
        <w:pStyle w:val="Heading1"/>
        <w:spacing w:after="140" w:before="320"/>
      </w:pPr>
      <w:r>
        <w:rPr>
          <w:rFonts w:ascii="Calibri" w:cs="Calibri" w:eastAsia="Calibri" w:hAnsi="Calibri"/>
          <w:b/>
          <w:bCs/>
          <w:i w:val="false"/>
          <w:iCs w:val="false"/>
          <w:sz w:val="25"/>
          <w:szCs w:val="25"/>
        </w:rPr>
        <w:t xml:space="preserve">1  Purpose</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policy governs the use of artificial intelligence by [Firm] and states what is permitted, what is prohibited, and what must be recorded. It is directed at four risks: the disclosure of client information to a third party without authority, the presentation of inaccurate material to a court or a client, charging a client for work that was not done, and the loss of the practice's ability to demonstrate what was done and why.</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Artificial intelligence is a tool. Its use does not alter, qualify or reduce any duty owed to a client, to a court or to the practice. Every obligation that applies to work produced by hand applies to work produced with assistance.</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client is entitled to expect that the work done for them is the practice's own work, reflecting the practitioner's experience, knowledge and judgment. Artificial intelligence supplements that work. It does not substitute for it.</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policy replaces any earlier policy of the practice concerning ChatGPT, generative artificial intelligence or artificial intelligence generally.</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copy of this policy is provided to any client who requests it.</w:t>
      </w:r>
    </w:p>
    <w:p>
      <w:pPr>
        <w:pStyle w:val="Heading1"/>
        <w:spacing w:after="140" w:before="320"/>
      </w:pPr>
      <w:r>
        <w:rPr>
          <w:rFonts w:ascii="Calibri" w:cs="Calibri" w:eastAsia="Calibri" w:hAnsi="Calibri"/>
          <w:b/>
          <w:bCs/>
          <w:i w:val="false"/>
          <w:iCs w:val="false"/>
          <w:sz w:val="25"/>
          <w:szCs w:val="25"/>
        </w:rPr>
        <w:t xml:space="preserve">2  Application</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2.1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policy applies to every principal, partner, director, employed solicitor, paralegal, law graduate, student, administrative employee, contractor, consultant, locum and volunteer of the practice, and to any person given access to the practice's systems or files.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2.2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It applies to all use of artificial intelligence connected with the practice, whether on a practice device or a personal device, whether during or outside working hours, and whether the work is billable. It applies to systems developed by or for the practice and to systems procured from a supplier or obtained from an open-source project, whether used as a whole system or as a component of, or modification to, another system.</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2.3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Personal use of an unapproved tool is permitted for matters unconnected with the practice. When using such a tool, no client information, confidential information, personal information or material proprietary to the practice may be entered, and the output must not be incorporated into or relied on in any work of the practice without the approval of a supervisor.</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2.4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practice instructs counsel, an expert, a costs consultant, a process server, an agent or another supplier, the person giving the instruction must bring the relevant requirements of this policy and of the instruments at Schedule 5 to that person's attention. See clauses 11 and 12.</w:t>
      </w:r>
    </w:p>
    <w:p>
      <w:pPr>
        <w:pStyle w:val="Heading1"/>
        <w:spacing w:after="140" w:before="320"/>
      </w:pPr>
      <w:r>
        <w:rPr>
          <w:rFonts w:ascii="Calibri" w:cs="Calibri" w:eastAsia="Calibri" w:hAnsi="Calibri"/>
          <w:b/>
          <w:bCs/>
          <w:i w:val="false"/>
          <w:iCs w:val="false"/>
          <w:sz w:val="25"/>
          <w:szCs w:val="25"/>
        </w:rPr>
        <w:t xml:space="preserve">3  Definitions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3.1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 this policy the following definitions apply. They follow the definitions used by the courts, so that the policy and the instruments at Schedule 5 speak the same language.</w:t>
      </w:r>
    </w:p>
    <w:p>
      <w:pPr>
        <w:spacing w:after="140" w:line="264"/>
        <w:ind w:left="680"/>
        <w:jc w:val="both"/>
      </w:pPr>
      <w:r>
        <w:rPr>
          <w:rFonts w:ascii="Calibri" w:cs="Calibri" w:eastAsia="Calibri" w:hAnsi="Calibri"/>
          <w:b/>
          <w:bCs/>
          <w:i w:val="false"/>
          <w:iCs w:val="false"/>
          <w:sz w:val="21"/>
          <w:szCs w:val="21"/>
        </w:rPr>
        <w:t xml:space="preserve">AI </w:t>
      </w:r>
      <w:r>
        <w:rPr>
          <w:rFonts w:ascii="Calibri" w:cs="Calibri" w:eastAsia="Calibri" w:hAnsi="Calibri"/>
          <w:b w:val="false"/>
          <w:bCs w:val="false"/>
          <w:i w:val="false"/>
          <w:iCs w:val="false"/>
          <w:sz w:val="21"/>
          <w:szCs w:val="21"/>
        </w:rPr>
        <w:t xml:space="preserve">means a machine-based system that, for explicit or implicit objectives, infers from the input it receives how to generate outputs such as predictions, content, recommendations or decisions that can influence physical or virtual environments. Systems vary in their autonomy and adaptiveness after deployment. AI is an umbrella term that includes generative AI, public AI and closed AI.</w:t>
      </w:r>
    </w:p>
    <w:p>
      <w:pPr>
        <w:spacing w:after="140" w:line="264"/>
        <w:ind w:left="680"/>
        <w:jc w:val="both"/>
      </w:pPr>
      <w:r>
        <w:rPr>
          <w:rFonts w:ascii="Calibri" w:cs="Calibri" w:eastAsia="Calibri" w:hAnsi="Calibri"/>
          <w:b/>
          <w:bCs/>
          <w:i w:val="false"/>
          <w:iCs w:val="false"/>
          <w:sz w:val="21"/>
          <w:szCs w:val="21"/>
        </w:rPr>
        <w:t xml:space="preserve">generative AI </w:t>
      </w:r>
      <w:r>
        <w:rPr>
          <w:rFonts w:ascii="Calibri" w:cs="Calibri" w:eastAsia="Calibri" w:hAnsi="Calibri"/>
          <w:b w:val="false"/>
          <w:bCs w:val="false"/>
          <w:i w:val="false"/>
          <w:iCs w:val="false"/>
          <w:sz w:val="21"/>
          <w:szCs w:val="21"/>
        </w:rPr>
        <w:t xml:space="preserve">means a system that generates content as text, images, music, audio, video, code or structured data based on a user's prompts.</w:t>
      </w:r>
    </w:p>
    <w:p>
      <w:pPr>
        <w:spacing w:after="140" w:line="264"/>
        <w:ind w:left="680"/>
        <w:jc w:val="both"/>
      </w:pPr>
      <w:r>
        <w:rPr>
          <w:rFonts w:ascii="Calibri" w:cs="Calibri" w:eastAsia="Calibri" w:hAnsi="Calibri"/>
          <w:b/>
          <w:bCs/>
          <w:i w:val="false"/>
          <w:iCs w:val="false"/>
          <w:sz w:val="21"/>
          <w:szCs w:val="21"/>
        </w:rPr>
        <w:t xml:space="preserve">public AI </w:t>
      </w:r>
      <w:r>
        <w:rPr>
          <w:rFonts w:ascii="Calibri" w:cs="Calibri" w:eastAsia="Calibri" w:hAnsi="Calibri"/>
          <w:b w:val="false"/>
          <w:bCs w:val="false"/>
          <w:i w:val="false"/>
          <w:iCs w:val="false"/>
          <w:sz w:val="21"/>
          <w:szCs w:val="21"/>
        </w:rPr>
        <w:t xml:space="preserve">means a tool openly accessible to the public, typically over the internet, trained on broad and often public datasets, most commonly for general purpose use. It includes free and personal-subscription accounts of otherwise commercial products, tools embedded in consumer software, and any tool whose terms permit the supplier to use inputs to train a model.</w:t>
      </w:r>
    </w:p>
    <w:p>
      <w:pPr>
        <w:spacing w:after="140" w:line="264"/>
        <w:ind w:left="680"/>
        <w:jc w:val="both"/>
      </w:pPr>
      <w:r>
        <w:rPr>
          <w:rFonts w:ascii="Calibri" w:cs="Calibri" w:eastAsia="Calibri" w:hAnsi="Calibri"/>
          <w:b/>
          <w:bCs/>
          <w:i w:val="false"/>
          <w:iCs w:val="false"/>
          <w:sz w:val="21"/>
          <w:szCs w:val="21"/>
        </w:rPr>
        <w:t xml:space="preserve">closed AI </w:t>
      </w:r>
      <w:r>
        <w:rPr>
          <w:rFonts w:ascii="Calibri" w:cs="Calibri" w:eastAsia="Calibri" w:hAnsi="Calibri"/>
          <w:b w:val="false"/>
          <w:bCs w:val="false"/>
          <w:i w:val="false"/>
          <w:iCs w:val="false"/>
          <w:sz w:val="21"/>
          <w:szCs w:val="21"/>
        </w:rPr>
        <w:t xml:space="preserve">means a tool that is not openly accessible to the public, where information used in the tool remains within a controlled environment and there are controls or settings that protect information from being made publicly available or used to train the tool.</w:t>
      </w:r>
    </w:p>
    <w:p>
      <w:pPr>
        <w:spacing w:after="140" w:line="264"/>
        <w:ind w:left="680"/>
        <w:jc w:val="both"/>
      </w:pPr>
      <w:r>
        <w:rPr>
          <w:rFonts w:ascii="Calibri" w:cs="Calibri" w:eastAsia="Calibri" w:hAnsi="Calibri"/>
          <w:b/>
          <w:bCs/>
          <w:i w:val="false"/>
          <w:iCs w:val="false"/>
          <w:sz w:val="21"/>
          <w:szCs w:val="21"/>
        </w:rPr>
        <w:t xml:space="preserve">approved tool </w:t>
      </w:r>
      <w:r>
        <w:rPr>
          <w:rFonts w:ascii="Calibri" w:cs="Calibri" w:eastAsia="Calibri" w:hAnsi="Calibri"/>
          <w:b w:val="false"/>
          <w:bCs w:val="false"/>
          <w:i w:val="false"/>
          <w:iCs w:val="false"/>
          <w:sz w:val="21"/>
          <w:szCs w:val="21"/>
        </w:rPr>
        <w:t xml:space="preserve">means a closed AI tool listed in the Approved Tools Register at Schedule 1, used through the account or tenancy recorded there, in the configuration recorded there, and for the purposes recorded there.</w:t>
      </w:r>
    </w:p>
    <w:p>
      <w:pPr>
        <w:spacing w:after="160" w:line="264"/>
        <w:ind w:left="680"/>
        <w:jc w:val="both"/>
      </w:pPr>
      <w:r>
        <w:rPr>
          <w:rFonts w:ascii="Calibri" w:cs="Calibri" w:eastAsia="Calibri" w:hAnsi="Calibri"/>
          <w:b w:val="false"/>
          <w:bCs w:val="false"/>
          <w:i w:val="false"/>
          <w:iCs w:val="false"/>
          <w:sz w:val="21"/>
          <w:szCs w:val="21"/>
        </w:rPr>
        <w:t xml:space="preserve">A tool does not become an approved tool because a supplier describes it as secure, private, ringfenced, enterprise or closed. That description is a claim to be tested under clause 6, not a conclusion.</w:t>
      </w:r>
    </w:p>
    <w:p>
      <w:pPr>
        <w:spacing w:after="140" w:line="264"/>
        <w:ind w:left="680"/>
        <w:jc w:val="both"/>
      </w:pPr>
      <w:r>
        <w:rPr>
          <w:rFonts w:ascii="Calibri" w:cs="Calibri" w:eastAsia="Calibri" w:hAnsi="Calibri"/>
          <w:b/>
          <w:bCs/>
          <w:i w:val="false"/>
          <w:iCs w:val="false"/>
          <w:sz w:val="21"/>
          <w:szCs w:val="21"/>
        </w:rPr>
        <w:t xml:space="preserve">client information </w:t>
      </w:r>
      <w:r>
        <w:rPr>
          <w:rFonts w:ascii="Calibri" w:cs="Calibri" w:eastAsia="Calibri" w:hAnsi="Calibri"/>
          <w:b w:val="false"/>
          <w:bCs w:val="false"/>
          <w:i w:val="false"/>
          <w:iCs w:val="false"/>
          <w:sz w:val="21"/>
          <w:szCs w:val="21"/>
        </w:rPr>
        <w:t xml:space="preserve">means any information about a client, a client's matter or a client's affairs acquired in the course of an engagement, whether or not it identifies the client, and includes documents produced by or to the client.</w:t>
      </w:r>
    </w:p>
    <w:p>
      <w:pPr>
        <w:spacing w:after="140" w:line="264"/>
        <w:ind w:left="680"/>
        <w:jc w:val="both"/>
      </w:pPr>
      <w:r>
        <w:rPr>
          <w:rFonts w:ascii="Calibri" w:cs="Calibri" w:eastAsia="Calibri" w:hAnsi="Calibri"/>
          <w:b/>
          <w:bCs/>
          <w:i w:val="false"/>
          <w:iCs w:val="false"/>
          <w:sz w:val="21"/>
          <w:szCs w:val="21"/>
        </w:rPr>
        <w:t xml:space="preserve">restricted information </w:t>
      </w:r>
      <w:r>
        <w:rPr>
          <w:rFonts w:ascii="Calibri" w:cs="Calibri" w:eastAsia="Calibri" w:hAnsi="Calibri"/>
          <w:b w:val="false"/>
          <w:bCs w:val="false"/>
          <w:i w:val="false"/>
          <w:iCs w:val="false"/>
          <w:sz w:val="21"/>
          <w:szCs w:val="21"/>
        </w:rPr>
        <w:t xml:space="preserve">means client information or other material falling within any of the categories in clause 8.2. Restricted information may only be used with an approval under clause 8.</w:t>
      </w:r>
    </w:p>
    <w:p>
      <w:pPr>
        <w:spacing w:after="140" w:line="264"/>
        <w:ind w:left="680"/>
        <w:jc w:val="both"/>
      </w:pPr>
      <w:r>
        <w:rPr>
          <w:rFonts w:ascii="Calibri" w:cs="Calibri" w:eastAsia="Calibri" w:hAnsi="Calibri"/>
          <w:b/>
          <w:bCs/>
          <w:i w:val="false"/>
          <w:iCs w:val="false"/>
          <w:sz w:val="21"/>
          <w:szCs w:val="21"/>
        </w:rPr>
        <w:t xml:space="preserve">court document </w:t>
      </w:r>
      <w:r>
        <w:rPr>
          <w:rFonts w:ascii="Calibri" w:cs="Calibri" w:eastAsia="Calibri" w:hAnsi="Calibri"/>
          <w:b w:val="false"/>
          <w:bCs w:val="false"/>
          <w:i w:val="false"/>
          <w:iCs w:val="false"/>
          <w:sz w:val="21"/>
          <w:szCs w:val="21"/>
        </w:rPr>
        <w:t xml:space="preserve">means any document filed with or provided to a court or tribunal, including a pleading, a written submission, an affidavit, a witness statement and an expert report.</w:t>
      </w:r>
    </w:p>
    <w:p>
      <w:pPr>
        <w:spacing w:after="140" w:line="264"/>
        <w:ind w:left="680"/>
        <w:jc w:val="both"/>
      </w:pPr>
      <w:r>
        <w:rPr>
          <w:rFonts w:ascii="Calibri" w:cs="Calibri" w:eastAsia="Calibri" w:hAnsi="Calibri"/>
          <w:b/>
          <w:bCs/>
          <w:i w:val="false"/>
          <w:iCs w:val="false"/>
          <w:sz w:val="21"/>
          <w:szCs w:val="21"/>
        </w:rPr>
        <w:t xml:space="preserve">AI Officer </w:t>
      </w:r>
      <w:r>
        <w:rPr>
          <w:rFonts w:ascii="Calibri" w:cs="Calibri" w:eastAsia="Calibri" w:hAnsi="Calibri"/>
          <w:b w:val="false"/>
          <w:bCs w:val="false"/>
          <w:i w:val="false"/>
          <w:iCs w:val="false"/>
          <w:sz w:val="21"/>
          <w:szCs w:val="21"/>
        </w:rPr>
        <w:t xml:space="preserve">means the person appointed under clause 18.1, who may be the practice's Privacy Officer or Compliance Manager.</w:t>
      </w:r>
    </w:p>
    <w:p>
      <w:pPr>
        <w:spacing w:after="140" w:line="264"/>
        <w:ind w:left="680"/>
        <w:jc w:val="both"/>
      </w:pPr>
      <w:r>
        <w:rPr>
          <w:rFonts w:ascii="Calibri" w:cs="Calibri" w:eastAsia="Calibri" w:hAnsi="Calibri"/>
          <w:b/>
          <w:bCs/>
          <w:i w:val="false"/>
          <w:iCs w:val="false"/>
          <w:sz w:val="21"/>
          <w:szCs w:val="21"/>
        </w:rPr>
        <w:t xml:space="preserve">responsible practitioner </w:t>
      </w:r>
      <w:r>
        <w:rPr>
          <w:rFonts w:ascii="Calibri" w:cs="Calibri" w:eastAsia="Calibri" w:hAnsi="Calibri"/>
          <w:b w:val="false"/>
          <w:bCs w:val="false"/>
          <w:i w:val="false"/>
          <w:iCs w:val="false"/>
          <w:sz w:val="21"/>
          <w:szCs w:val="21"/>
        </w:rPr>
        <w:t xml:space="preserve">means the solicitor with day-to-day responsibility for the matter, and where a decision under clause 8 is required, the principal or partner with supervisory responsibility for it.</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3.2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Functions that do not generate substantive content are outside this policy. That includes spelling and grammar correction, formatting, optical character recognition, transcription and translation, provided the tool used is not a public tool and no restricted information is involved. It also includes a search engine that returns a list of results rather than a personalised answer, and dedicated legal research software that searches across legislation, judgments and legal texts without producing a personalised textual answer to a prompt.</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3.3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exclusion in clause 3.2 is narrow. A tool that summarises, drafts, analyses, answers a question or produces a chronology is within this policy even where it is a feature of software the practice already uses. The generation of chronologies, indexes and witness lists is treated as a permitted use rather than an excluded function.</w:t>
      </w:r>
    </w:p>
    <w:p>
      <w:pPr>
        <w:pStyle w:val="Heading1"/>
        <w:spacing w:after="140" w:before="320"/>
      </w:pPr>
      <w:r>
        <w:rPr>
          <w:rFonts w:ascii="Calibri" w:cs="Calibri" w:eastAsia="Calibri" w:hAnsi="Calibri"/>
          <w:b/>
          <w:bCs/>
          <w:i w:val="false"/>
          <w:iCs w:val="false"/>
          <w:sz w:val="25"/>
          <w:szCs w:val="25"/>
        </w:rPr>
        <w:t xml:space="preserve">4  The obligations this policy serves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4.1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Confidentiality, under rule 9.1 of the Australian Solicitors' Conduct Rules. A solicitor must not disclose information confidential to a client and acquired during the engagement, except to a person within the practice or a person engaged by the practice for the purposes of delivering or administering legal services to that client, or as otherwise permitted. The engagement of a supplier for the purposes of the matter is not of itself a breach. Whether a particular tool falls within that description depends on its terms and configuration, which is why clause 6 restricts use to approved tools. The regulators treat the entry of client information into a public tool as akin to placing it in the public domain, likely to breach rule 9.1 and to put privilege at risk.</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4.2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Competence and diligence, under rules 4.1.2 and 4.1.3. A solicitor using a tool to prepare a document must be able and qualified to verify personally the information the document contains, and must ensure that its contents are accurate and not likely to mislead the client, the court or another party.</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4.3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Independent advice, under rule 4.1.4. These tools do not reason, understand or advise. The forensic judgment exercised in advising a client is the solicitor's, and the output of a tool is not a substitute for the solicitor's own assessment and analysis of the client's needs and circumstances.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4.4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Independence, under rule 17. A solicitor must exercise independent judgment irrespective of the views expressed by any tool.</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4.5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Duty to the court, under rule 19. A solicitor must not mislead or deceive a court, even inadvertently. The validity of material placed before a court must be tested by the solicitor whether or not it was produced with assistance. A solicitor must also not mislead the court or another participant in the litigation, directly or indirectly, about the nature of the work undertaken or about content produced by a tool.</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4.6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Costs, under sections 172 to 174 of the Uniform Law and rule 12.2. See clause 14.</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4.7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Supervision, under rule 37 and section 34 of the Uniform Law. Principals are responsible for the legal services provided by the practice and must take reasonable steps to ensure that practitioner associates comply with their professional obligations. Supervision of AI-assisted work requires the supervisor to know which tool was used and for what, and to evaluate the accuracy and completeness of the output. A junior practitioner may lack the experience to make that evaluation, which is a reason for closer supervision rather than for reliance on the junior's review.</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4.8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Privacy. The practice must determine whether it is an entity bound by the Australian Privacy Principles. Whatever the conclusion, the practice applies those principles to personal information handled through AI tools as a minimum standard, and complies with the notifiable data breaches scheme where it applies.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4.9</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Court and tribunal instruments. The courts and tribunals in which the practice appears impose specific requirements. Those in force are listed at Schedule 5 and prevail over this policy to the extent of any inconsistency. Practitioners must also observe the civil procedure obligations of the relevant jurisdiction, including any requirement to certify that a claim has a proper basis.</w:t>
      </w:r>
    </w:p>
    <w:p>
      <w:pPr>
        <w:pStyle w:val="Heading1"/>
        <w:spacing w:after="140" w:before="320"/>
      </w:pPr>
      <w:r>
        <w:rPr>
          <w:rFonts w:ascii="Calibri" w:cs="Calibri" w:eastAsia="Calibri" w:hAnsi="Calibri"/>
          <w:b/>
          <w:bCs/>
          <w:i w:val="false"/>
          <w:iCs w:val="false"/>
          <w:sz w:val="25"/>
          <w:szCs w:val="25"/>
        </w:rPr>
        <w:t xml:space="preserve">5  Suitability</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5.1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Before using an approved tool on a task, the practitioner considers whether the task is one for which a tool is suitable at all. The path at Schedule 6 records the questions to ask.</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5.2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Lower-risk tasks, where the output is readily verified, are the ordinary field of use. They include summarising or reviewing documents and transcripts, producing a chronology, index or witness list from source documents, preparing a first draft of correspondence, suggesting the structure of an argument, preparing a brief, and legal research to be checked against primary sources.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5.3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Higher-risk tasks require independent verification by a practitioner with the relevant expertise before the output is used. They include analysing an unfamiliar area of law, translating advice or a document into another language, advising on the application of law to facts, and any task where an error would not be apparent to the reviewer.</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5.4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must not be used to make a decision that requires professional judgment, including whether to accept an offer, whether to commence or discontinue a proceeding, whether a conflict exists, whether a person has capacity, or how to advise a client. A tool may inform such a decision. It cannot make it.</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5.5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Output must be assessed for register as well as accuracy. These tools write with unwarranted confidence, and advice will often need qualifications and reservations added before it is fit to send.</w:t>
      </w:r>
    </w:p>
    <w:p>
      <w:pPr>
        <w:pStyle w:val="Heading1"/>
        <w:spacing w:after="140" w:before="320"/>
      </w:pPr>
      <w:r>
        <w:rPr>
          <w:rFonts w:ascii="Calibri" w:cs="Calibri" w:eastAsia="Calibri" w:hAnsi="Calibri"/>
          <w:b/>
          <w:bCs/>
          <w:i w:val="false"/>
          <w:iCs w:val="false"/>
          <w:sz w:val="25"/>
          <w:szCs w:val="25"/>
        </w:rPr>
        <w:t xml:space="preserve">6  Approved tools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6.1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Client information may only be entered into an approved tool. Client information must not be entered into a public tool in any form, including a form the user considers anonymised.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6.2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Anonymisation is not a substitute for using an approved tool. In a matter of any substance the combination of facts, dates, amounts and locations required to obtain a useful answer will often identify the client or the matter to a reader who knows the field, and re-identification is outside the practice's control once the material has been sent.</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6.3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is approved by [the AI Officer, with the approval of the principals] and is then recorded in Schedule 1. Use of a tool outside the scope recorded there is a breach of this policy. A contractual arrangement with a client that restricts the use of AI overrides any approval, and that obligation is paramount.</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6.4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Approval must be informed by a risk assessment addressing confidentiality and privacy, the accuracy and reliability of outputs, bias in the system, regulatory compliance, professional liability, the effect on clients, and whether the tool and the processes around it can be audited.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6.5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Before a tool is approved, the following must be established and recorded:</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use case the tool is intended to serve, the output expected of it, and the benchmarks by which its performance will be measured;</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supplier does not use inputs or outputs to train its models, and that this is a term of the contract rather than a setting a user can alter;</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how prompts, queries, inputs and outputs are stored, for how long and by whom, and whether a shorter or zero retention arrangement is available;</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data is processed and stored, and if outside Australia, what is required for the practice to satisfy Australian Privacy Principle 8 and section 16C of the Privacy Act 1988 (Cth), together with any client requirement for onshore hosting;</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whether the practice's data is separated from that of other customers, including in any retrieval, embedding or caching layer;</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which sub-processors receive the data and whether the retention and training position applies to each of them;</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(g)</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position on copyright, intellectual property and ownership of inputs and outputs, and what is known of the provenance of the training data, including any risk that it contains infringing, unlawful or highly offensive material;</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(h)</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what logging is available to the practice, and in particular whether the practice can later establish what was sent and when;</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(i)</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access is controlled so that only authorised users can reach the tool, and that where the tool connects to the practice's documents or systems it receives only the data it needs and nothing more;</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(j)</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 written agreement is in place addressing confidentiality, security, breach notification and deletion; and</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(k)</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what the tool records or retains on the local device, and whether that location sits within the practice's encryption, backup and file synchronisation arrangements.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6.6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choice exists, preference is given to a tool that presents its output so that the user can interrogate the sources or authorities on which the output is based.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6.7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is tested against its benchmarks before it is approved and at intervals afterwards. Approvals are reviewed at least annually and on any material change to the supplier's terms. A tool may be suspended or removed from Schedule 1 at any time.</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6.8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Personal accounts must not be used for any work of the practice, even where the underlying product is the same as an approved tool. The account determines the contractual terms, the retention period and whether inputs are used for training.</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6.9</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request to use a tool not in Schedule 1 is made to the AI Officer before the tool is used. Trials on client material are not permitted.</w:t>
      </w:r>
    </w:p>
    <w:p>
      <w:pPr>
        <w:pStyle w:val="Heading1"/>
        <w:spacing w:after="140" w:before="320"/>
      </w:pPr>
      <w:r>
        <w:rPr>
          <w:rFonts w:ascii="Calibri" w:cs="Calibri" w:eastAsia="Calibri" w:hAnsi="Calibri"/>
          <w:b/>
          <w:bCs/>
          <w:i w:val="false"/>
          <w:iCs w:val="false"/>
          <w:sz w:val="25"/>
          <w:szCs w:val="25"/>
        </w:rPr>
        <w:t xml:space="preserve">7  Prohibited uses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7.1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following are prohibited without exception:</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generating the content of an affidavit, a witness statement, a character reference or any other document intended to record or reflect a person's own evidence or opinion, or material tendered in evidence or used in cross-examination;</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a tool to alter, embellish, strengthen, dilute or otherwise rephrase a witness's evidence once it is in written form;</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entering client information into a public tool;</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restricted information without an approval under clause 8;</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a tool not recorded in Schedule 1 on any work of the practice;</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representing to a client, a court or another party that material has been verified when it has not, or misleading any of them as to the nature of the work undertaken;</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(g)</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sending, filing, serving or relying on any output that has not been verified under clause 9; and</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(h)</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an AI recording, transcription or note-taking tool during a court or tribunal hearing.</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7.2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Work that is preparatory to the drafting of a witness's evidence is not prohibited by clause 7.1(a). Preparing a chronology, an index, a list of topics or a summary of documents for the solicitor's own use is permitted. The line is that the affidavit or statement must be sworn, affirmed or finalised in a form that reflects the witness's own knowledge and the witness's own words.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7.3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must not be used to draft or prepare the content of an expert report, or any part of one, without prior leave of the court where leave is required. See clause 11.</w:t>
      </w:r>
    </w:p>
    <w:p>
      <w:pPr>
        <w:pStyle w:val="Heading1"/>
        <w:spacing w:after="140" w:before="320"/>
      </w:pPr>
      <w:r>
        <w:rPr>
          <w:rFonts w:ascii="Calibri" w:cs="Calibri" w:eastAsia="Calibri" w:hAnsi="Calibri"/>
          <w:b/>
          <w:bCs/>
          <w:i w:val="false"/>
          <w:iCs w:val="false"/>
          <w:sz w:val="25"/>
          <w:szCs w:val="25"/>
        </w:rPr>
        <w:t xml:space="preserve">8  Restricted information</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8.1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clause exists because the constraints on the categories below come from court orders, undertakings and statute rather than from the practice, and because a breach can amount to contempt.</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8.2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is:</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subject to an order as to confidentiality, suppression or non-publication;</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obtained from another party or a third person under compulsion in a proceeding, which is subject to the implied undertaking not to use it for a purpose extraneous to that proceeding without the leave of the court;</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material produced on subpoena or under a notice to produce;</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subject to a statutory prohibition or restriction on publication or disclosure, including in proceedings concerning children;</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privileged information, including privilege belonging to a person other than the client, and any privileged material whose use may put the privilege in issue; and</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confidential or private to a person other than the client, where that person's consent has not been obtained.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8.3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must not be entered into any tool, including an approved tool, unless the responsible practitioner has first been satisfied of each of the following and has recorded that satisfaction on the matter file:</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information will remain within the controlled environment of the platform being used;</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platform is the subject of confidentiality restrictions on the supplier ensuring that the data is not made publicly available and is not used to train any large language model;</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information is to be used only in connection with the proceeding in which it was obtained, unless otherwise required or permitted by law to be disclosed; and</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information is not used to train the tool or any model.</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8.4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Satisfaction under clause 8.3 is reached by reviewing the contractual terms and the privacy and confidentiality settings actually in force, not by accepting the supplier's description of its product. The practitioner must be able to say what establishes each of the four matters.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8.5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undertaking can still be breached where the material stays within the tool but an output derived from it is later used in a different matter or for a different purpose. An approval under this clause is confined to the proceeding for which it is given and to the purpose recorded.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8.6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approval form at Schedule 4 may be used to record an approval. An approval must identify the material, the tool, the purpose and the proceeding, and must be signed by the responsible practitioner.</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8.7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practitioner cannot be satisfied of each matter in clause 8.3, the material is not to be used with any tool. Difficulty or inconvenience in establishing those matters is a reason not to use the tool, not a reason to proceed.</w:t>
      </w:r>
    </w:p>
    <w:p>
      <w:pPr>
        <w:pStyle w:val="Heading1"/>
        <w:spacing w:after="140" w:before="320"/>
      </w:pPr>
      <w:r>
        <w:rPr>
          <w:rFonts w:ascii="Calibri" w:cs="Calibri" w:eastAsia="Calibri" w:hAnsi="Calibri"/>
          <w:b/>
          <w:bCs/>
          <w:i w:val="false"/>
          <w:iCs w:val="false"/>
          <w:sz w:val="25"/>
          <w:szCs w:val="25"/>
        </w:rPr>
        <w:t xml:space="preserve">9  Verification</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9.1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person who signs, sends or files a document is responsible for its contents. That responsibility applies whether or not a tool was used, and it is not shared with, reduced by or transferred to the tool.</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9.2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Content produced with the assistance of a tool must be verified with meaningful human control. The practitioner is responsible for ensuring that the content is current, complete, accurate and applicable to the jurisdiction, and must be alert to bias and discrimination in the output.</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9.3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Before AI-assisted work is sent to a client, filed, served or relied on, the responsible practitioner must confirm:</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case, statute, regulation, rule, practice note, textbook and article cited exists, is accurately identified as to parties, year, court and pinpoint reference, and stands for the proposition attributed to it;</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extract and quotation is accurate and attributed to the correct source;</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authority cited is relevant to the proceeding and applicable to the jurisdiction and the facts;</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reference to evidence exists, is or will be in the material before the court, and is reasonably likely to be admissible;</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any statement about what the evidence establishes is a finding reasonably open on that evidence;</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facts asserted in a pleading are based on what the client reasonably considers can be proved, and that claims for relief rest on proper legal principles;</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(g)</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any chronology, index or list of documents is accurate and in the required form;</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(h)</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dates, figures, calculations, names and quotations have been checked against the source document; and</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(i)</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document has been read as a whole, proofread, and adapted to the matter rather than left in the general terms a tool produces.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9.4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Verification is carried out against a source known to be accurate. For case law that means an authorised report or AustLII, for legislation an authorised government site, and for a document on the file the document itself. Reading the judgment or the section is what discharges the obligation.</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9.5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It is not verification to ask a tool whether the material it produced exists or says what it claims. One tool cannot be used to confirm the output of another. Tools will confirm that inaccurate information is accurate when asked, and a practitioner who did so and relied on the answer has been the subject of judicial criticism. Where the tool holds the original source material and displays it, the practitioner may verify the content by reading that original source within the tool.</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9.6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Verification must not be carried out solely by using a tool. As a matter of practice policy, going beyond the minimum that the courts require, the checks under clause 9.3(a) to (d) must be performed by a person against the primary source in every case.</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9.7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practitioner must be able to identify the specific portions of a document that were produced with the assistance of a tool, and to explain how the output was verified and by whom. A court may direct that this information be provided, and may require an assurance identifying the process of verification followed.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9.8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Time spent verifying is part of the work. See clause 14.</w:t>
      </w:r>
    </w:p>
    <w:p>
      <w:pPr>
        <w:pStyle w:val="Heading1"/>
        <w:spacing w:after="140" w:before="320"/>
      </w:pPr>
      <w:r>
        <w:rPr>
          <w:rFonts w:ascii="Calibri" w:cs="Calibri" w:eastAsia="Calibri" w:hAnsi="Calibri"/>
          <w:b/>
          <w:bCs/>
          <w:i w:val="false"/>
          <w:iCs w:val="false"/>
          <w:sz w:val="25"/>
          <w:szCs w:val="25"/>
        </w:rPr>
        <w:t xml:space="preserve">10  Disclosure to courts and tribunals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10.1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Requirements differ between courts. Schedule 5 records what applies where the practice appears, and must be checked before a document is filed. The requirements below are the practice's standing position and apply in every jurisdiction, including one in which no instrument is in force. The absence of an instrument does not reduce the duty not to mislead the court.</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10.2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Written submissions and summaries of argument. Where a tool has been used in the preparation of a written submission, summary or skeleton of argument, the author must verify in the body of the document that all citations, legal and academic authority, case law and legislative references exist, are accurate and are relevant to the proceeding, and must make the same verification in relation to references to evidence, whether the evidence is in an affidavit or in transcript. The wording at Schedule 3 may be used.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10.3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Affidavits, witness statements and character references. In some jurisdictions these must contain a disclosure that generative AI was not used in generating their content, including by altering, embellishing, strengthening, diluting or rephrasing the evidence, and, subject to leave, in generating the content of an annexure or exhibit prepared by the deponent for the purposes of the evidence. Where the instrument at Schedule 5 imposes that requirement, the disclosure is required whether or not a tool was in fact used, and its absence is a defect in the document. The practice includes the disclosure as a standing practice in every jurisdiction. No disclosure is required for an annexure or exhibit that was not prepared or created for the purposes of the proceeding.</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10.4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Leave for an annexure or exhibit. In exceptional cases leave may be sought to use a tool to prepare or generate an annexure or exhibit to an affidavit, witness statement or character reference. An application for leave must identify the proposed use, the tool and its version, whether it is closed-source or open-source and whether it has privacy or confidentiality settings, and the benefit expected from the proposed use.</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10.5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Evidentiary material generally. Use of a tool must be disclosed where it has been used to summarise or analyse information on which a witness relies to make a statement of fact or express an opinion, where it has produced an image, video, audio recording or other multimedia placed before the court, or where it has been used in any way that might reasonably be expected to affect the admissibility of the evidence or the use the court makes of it. Disclosure appears in the body of the document at its start and states as concisely as possible where and how the tool was used.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10.6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Readiness to answer. Every practitioner must be in a position to tell the court what tool was used, how it was used and for what purpose, whether or not disclosure was required. The record kept under clause 16 exists for that purpose.</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10.7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court may require disclosure in circumstances beyond those set out above, and may make orders or give directions about the use of AI in a particular proceeding. Any such order or direction prevails.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10.8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practice becomes aware that a document filed or served contains material generated or affected by a tool that is inaccurate, the responsible practitioner must inform the AI Officer immediately and correct the position with the court and the other parties.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10.9</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consequences of getting this wrong fall on the individual as well as the practice. They include adverse costs orders made personally, referral to the designated local regulatory authority, and variation of a practising certificate. The Law Society of New South Wales guide to the responsible use of artificial intelligence records instances of each, including a Victorian practitioner whose practising certificate was varied, and a matter in which a junior solicitor filed a document containing largely non-existent references and the court found that the error was contributed to by a failure of supervision.</w:t>
      </w:r>
    </w:p>
    <w:p>
      <w:pPr>
        <w:pStyle w:val="Heading1"/>
        <w:spacing w:after="140" w:before="320"/>
      </w:pPr>
      <w:r>
        <w:rPr>
          <w:rFonts w:ascii="Calibri" w:cs="Calibri" w:eastAsia="Calibri" w:hAnsi="Calibri"/>
          <w:b/>
          <w:bCs/>
          <w:i w:val="false"/>
          <w:iCs w:val="false"/>
          <w:sz w:val="25"/>
          <w:szCs w:val="25"/>
        </w:rPr>
        <w:t xml:space="preserve">11  Experts and counsel</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leave of the court is required before a tool may be used in the preparation of an expert report, that leave must be obtained before the expert begins. An application for leave must identify the proposed use, the tool and its version, whether it is closed-source or open-source and whether it has privacy or confidentiality settings, the benefit expected, and the documents proposed to be submitted to the tool.</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11.2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Letters of instruction to experts must draw attention to the requirements applying in the relevant court, state that a tool must not be used in preparing the content of the report without leave where leave is required, require the expert to tell the practice immediately if a tool has been or is proposed to be used, and identify the expert code of conduct or practice note with which the report must comply.</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11.3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leave has been granted, the practice must ensure the report discloses which parts were prepared using a tool or drawing on material it produced, and which tool and version was used, and annexes a record of how the tool was used, including any prompts, default values and variables set, unless the court dispenses with that requirement. Where the use of AI is regulated by a code of practice binding on the expert, that fact must be identified and the code annexed.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11.4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 some proceedings, including professional negligence claims and work injury damages matters in New South Wales, leave to rely on a report prepared with AI assistance must be sought at the first directions hearing. The responsible practitioner must check the position at the outset of the matter rather than when the report is served.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11.5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Briefs to counsel must state whether a tool was used in preparing the brief or any document in it, and must pass on any restriction under clause 8 attaching to material in the brief.</w:t>
      </w:r>
    </w:p>
    <w:p>
      <w:pPr>
        <w:pStyle w:val="Heading1"/>
        <w:spacing w:after="140" w:before="320"/>
      </w:pPr>
      <w:r>
        <w:rPr>
          <w:rFonts w:ascii="Calibri" w:cs="Calibri" w:eastAsia="Calibri" w:hAnsi="Calibri"/>
          <w:b/>
          <w:bCs/>
          <w:i w:val="false"/>
          <w:iCs w:val="false"/>
          <w:sz w:val="25"/>
          <w:szCs w:val="25"/>
        </w:rPr>
        <w:t xml:space="preserve">12  Clients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12.1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engagement documents must state the practice's position on the use of AI. The clause at Schedule 3 may be used. This policy is made available to any client who asks for it.</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12.2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responsible practitioner must check the client's own terms before any tool is used on the matter. Some clients, particularly financial institutions, insurers and government, prohibit the use of AI, require notice, restrict the suppliers that may be used, or require that data be hosted onshore. A term of that kind binds the practice and overrides the general position in this policy.</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12.3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client must be told, and the client's informed consent obtained and recorded, before:</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in the client's matter is used with any tool;</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client's material is used for any purpose beyond the matter, including training, product development, precedent creation or a case study; or</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is used in a way the client would not reasonably expect from the engagement documents.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12.4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blanket consent buried in the engagement documents is not informed consent for the purposes of clause 12.3. Consent must be specific to the use proposed, given after the client has been told what the tool is and what the risks are, and recorded on the file.</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12.5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client asks whether a tool has been used, how it was used, or how its use is reflected in costs, the answer must be complete and accurate.</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12.6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Clients must be warned that if they enter their own communications with the practice, or documents relating to their matter, into a public tool, they may destroy the confidentiality on which legal professional privilege depends and may waive that privilege. The warning at Schedule 3 is included in the engagement documents.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12.7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client raises an ethical concern about the use of AI, the responsible practitioner must address it rather than defer it, and must record the outcome.</w:t>
      </w:r>
    </w:p>
    <w:p>
      <w:pPr>
        <w:pStyle w:val="Heading1"/>
        <w:spacing w:after="140" w:before="320"/>
      </w:pPr>
      <w:r>
        <w:rPr>
          <w:rFonts w:ascii="Calibri" w:cs="Calibri" w:eastAsia="Calibri" w:hAnsi="Calibri"/>
          <w:b/>
          <w:bCs/>
          <w:i w:val="false"/>
          <w:iCs w:val="false"/>
          <w:sz w:val="25"/>
          <w:szCs w:val="25"/>
        </w:rPr>
        <w:t xml:space="preserve">13  Supervision</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13.1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Supervision of AI-assisted work is continuous and active. A supervisor must know which tool a supervised person used and for what purpose, and must satisfy themselves that the verification required by clause 9 was actually performed.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13.2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supervised solicitor, law graduate, student or paralegal may use an approved tool only within the scope their supervisor has approved, must disclose to the supervisor that a tool was used in preparing any document, and may not make a decision under clause 8 or seek a client consent under clause 12.</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13.3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Work of a kind described in clause 5.3 is not to be reviewed only by a person who would be unable to detect an error in it.</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13.4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indicators at Schedule 7 are the signs that undisclosed or unverified AI use may be present in a document. A supervisor who sees them must make further inquiry before the document is settled.</w:t>
      </w:r>
    </w:p>
    <w:p>
      <w:pPr>
        <w:pStyle w:val="Heading1"/>
        <w:spacing w:after="140" w:before="320"/>
      </w:pPr>
      <w:r>
        <w:rPr>
          <w:rFonts w:ascii="Calibri" w:cs="Calibri" w:eastAsia="Calibri" w:hAnsi="Calibri"/>
          <w:b/>
          <w:bCs/>
          <w:i w:val="false"/>
          <w:iCs w:val="false"/>
          <w:sz w:val="25"/>
          <w:szCs w:val="25"/>
        </w:rPr>
        <w:t xml:space="preserve">14  Costs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14.1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Legal costs charged to a client must be fair and reasonable and proportionate to the work completed, and the basis on which costs will be calculated must be disclosed.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14.2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tool reduces the time a task takes, the time recorded and billed must reflect the time actually spent. The practice does not bill for time not spent, and the saving accrues to the client.</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14.3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use of a tool must not increase the cost to the client above what traditional methods would have cost, whether through time spent verifying output or through time spent correcting it. Where verification or correction consumes the saving, the tool was not suitable for the task and its use should be reconsidered under clause 5.</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14.4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Any cost of an AI tool is not charged to a client as a disbursement unless the engagement documents provide for it and the costs disclosure reflects it.</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14.5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On request, a client is to be told how the use of AI is reflected in the costs charged.</w:t>
      </w:r>
    </w:p>
    <w:p>
      <w:pPr>
        <w:pStyle w:val="Heading1"/>
        <w:spacing w:after="140" w:before="320"/>
      </w:pPr>
      <w:r>
        <w:rPr>
          <w:rFonts w:ascii="Calibri" w:cs="Calibri" w:eastAsia="Calibri" w:hAnsi="Calibri"/>
          <w:b/>
          <w:bCs/>
          <w:i w:val="false"/>
          <w:iCs w:val="false"/>
          <w:sz w:val="25"/>
          <w:szCs w:val="25"/>
        </w:rPr>
        <w:t xml:space="preserve">15  Privacy and information security</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15.1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personal information is sent to a supplier outside Australia, the practice remains accountable for the recipient's handling of it. Before any tool is approved for use with personal information, the AI Officer must record where the processing occurs and the basis on which Australian Privacy Principle 8 is satisfied.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15.2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Approved tools must be accessed only from a practice device, or a personal device that complies with the practice's device policy, using the practice's account and multi-factor authentication.</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15.3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tool stores prompts, outputs or session records on the local device, that location must be identified, must sit within the practice's encryption arrangements, and must be excluded from consumer file synchronisation and backup services. A local record of client material is not a disclosure to anyone, but a synchronisation client that replicates it off the device is.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15.4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Retention settings must be configured to the shortest period consistent with the practice's record-keeping obligations. Where a supplier offers a setting that permits inputs to be used for model training, it must be off, and the AI Officer must verify periodically that it remains off.</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15.5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Documents generated with AI assistance are records of the practice and must be filed in the practice's document management system, not left in a tool, a personal folder or a chat history.</w:t>
      </w:r>
    </w:p>
    <w:p>
      <w:pPr>
        <w:pStyle w:val="Heading1"/>
        <w:spacing w:after="140" w:before="320"/>
      </w:pPr>
      <w:r>
        <w:rPr>
          <w:rFonts w:ascii="Calibri" w:cs="Calibri" w:eastAsia="Calibri" w:hAnsi="Calibri"/>
          <w:b/>
          <w:bCs/>
          <w:i w:val="false"/>
          <w:iCs w:val="false"/>
          <w:sz w:val="25"/>
          <w:szCs w:val="25"/>
        </w:rPr>
        <w:t xml:space="preserve">16  Records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16.1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tool has been used on a matter in a way that requires disclosure under clause 10, or that involved restricted information under clause 8, a record must be made on the matter file. The form at Schedule 2 may be used.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16.2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record must identify the tool and version, the date, the person who used it, the purpose, the material provided to it, the specific portions of any document produced with its assistance, what was done with the output, and who verified the output and against what source.</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16.3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output is used in a court document, the practice retains a record of the output itself, so that the portions produced with assistance can be identified later.</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16.4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Records under this clause are retained for the same period as the matter file. They may be subject to discovery, to a subpoena directed to the practice, and to production in a costs assessment or a complaint, and are to be prepared on that basis.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16.5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practice maintains logging of AI use at the level available from each approved tool. Where a tool cannot produce a record of what was sent to it, that limitation is recorded in Schedule 1 and taken into account when the tool is considered for use with restricted information.</w:t>
      </w:r>
    </w:p>
    <w:p>
      <w:pPr>
        <w:pStyle w:val="Heading1"/>
        <w:spacing w:after="140" w:before="320"/>
      </w:pPr>
      <w:r>
        <w:rPr>
          <w:rFonts w:ascii="Calibri" w:cs="Calibri" w:eastAsia="Calibri" w:hAnsi="Calibri"/>
          <w:b/>
          <w:bCs/>
          <w:i w:val="false"/>
          <w:iCs w:val="false"/>
          <w:sz w:val="25"/>
          <w:szCs w:val="25"/>
        </w:rPr>
        <w:t xml:space="preserve">17  Training</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17.1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No person may use an approved tool on client work until they have completed the practice's induction training on this policy.</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17.2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Training covers this policy, the instruments at Schedule 5, the capabilities and limitations of the tools in use, how to prompt them, how to recognise bias and inaccuracy in output, the verification requirements in clause 9, and for supervisors, how to supervise AI-assisted work.</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17.3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Training is repeated annually and on any material change to this policy or to the tools approved. New personnel, including temporary personnel, receive the policy and the training on commencement.</w:t>
      </w:r>
    </w:p>
    <w:p>
      <w:pPr>
        <w:pStyle w:val="Heading1"/>
        <w:spacing w:after="140" w:before="320"/>
      </w:pPr>
      <w:r>
        <w:rPr>
          <w:rFonts w:ascii="Calibri" w:cs="Calibri" w:eastAsia="Calibri" w:hAnsi="Calibri"/>
          <w:b/>
          <w:bCs/>
          <w:i w:val="false"/>
          <w:iCs w:val="false"/>
          <w:sz w:val="25"/>
          <w:szCs w:val="25"/>
        </w:rPr>
        <w:t xml:space="preserve">18  Responsibility</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18.1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practice appoints [name or position] as AI Officer. The AI Officer maintains Schedules 1 and 5, decides requests under clause 6.9, receives reports under clause 19, conducts the reviews under clause 20, and reports to the principals at least annually on the use of AI in the practice.</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18.2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principals are responsible for the operation of this policy, for providing the resources it requires, and for ensuring that supervision arrangements account for AI-assisted work.</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18.3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Each person to whom this policy applies is responsible for their own compliance and for reporting under clause 19.</w:t>
      </w:r>
    </w:p>
    <w:p>
      <w:pPr>
        <w:pStyle w:val="Heading1"/>
        <w:spacing w:after="140" w:before="320"/>
      </w:pPr>
      <w:r>
        <w:rPr>
          <w:rFonts w:ascii="Calibri" w:cs="Calibri" w:eastAsia="Calibri" w:hAnsi="Calibri"/>
          <w:b/>
          <w:bCs/>
          <w:i w:val="false"/>
          <w:iCs w:val="false"/>
          <w:sz w:val="25"/>
          <w:szCs w:val="25"/>
        </w:rPr>
        <w:t xml:space="preserve">19  Incidents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19.1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person who becomes aware of any of the following must report it to the AI Officer immediately, and in any event on the same day:</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client information entered into a public tool;</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used without an approval under clause 8;</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use of a tool not recorded in Schedule 1 on work of the practice;</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inaccurate or fabricated AI-generated material sent to a client, a court or another party, or included in the practice's work;</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suspected security incident or unauthorised access affecting an approved tool; or</w:t>
      </w:r>
    </w:p>
    <w:p>
      <w:pPr>
        <w:tabs>
          <w:tab w:val="left" w:pos="1360"/>
        </w:tabs>
        <w:spacing w:after="120" w:line="264"/>
        <w:ind w:left="136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any use of AI that may breach this policy, whether by that person or another.</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19.2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report under clause 19.1 is not itself a disciplinary matter. Failing to report is.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19.3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On receiving a report the AI Officer must assess whether the incident involves a breach of confidentiality, an eligible data breach requiring notification, a breach of an undertaking or court order, a matter requiring correction with a court, or a matter requiring notification to the practice's professional indemnity insurer, and must act accordingly and record the assessment.</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19.4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Notification to the insurer is governed by the policy of insurance. Where an incident may give rise to a claim, the notification requirements of that policy are attended to before any communication with the client about liability.</w:t>
      </w:r>
    </w:p>
    <w:p>
      <w:pPr>
        <w:pStyle w:val="Heading1"/>
        <w:spacing w:after="140" w:before="320"/>
      </w:pPr>
      <w:r>
        <w:rPr>
          <w:rFonts w:ascii="Calibri" w:cs="Calibri" w:eastAsia="Calibri" w:hAnsi="Calibri"/>
          <w:b/>
          <w:bCs/>
          <w:i w:val="false"/>
          <w:iCs w:val="false"/>
          <w:sz w:val="25"/>
          <w:szCs w:val="25"/>
        </w:rPr>
        <w:t xml:space="preserve">20  Compliance and consequences</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20.1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AI Officer conducts periodic reviews of compliance, which may include reviewing matter files, tool logs and the records kept under clause 16. Where an approved tool offers monitoring or logging, the practice may use those features to review activity and audit compliance.</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20.2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breach of this policy may result in disciplinary action in accordance with the practice's disciplinary procedures, up to and including termination.</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20.3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breach may also expose the individual to a costs order made personally, a complaint to the designated local regulatory authority, and a finding of unsatisfactory professional conduct or professional misconduct.</w:t>
      </w:r>
    </w:p>
    <w:p>
      <w:pPr>
        <w:pStyle w:val="Heading1"/>
        <w:spacing w:after="140" w:before="320"/>
      </w:pPr>
      <w:r>
        <w:rPr>
          <w:rFonts w:ascii="Calibri" w:cs="Calibri" w:eastAsia="Calibri" w:hAnsi="Calibri"/>
          <w:b/>
          <w:bCs/>
          <w:i w:val="false"/>
          <w:iCs w:val="false"/>
          <w:sz w:val="25"/>
          <w:szCs w:val="25"/>
        </w:rPr>
        <w:t xml:space="preserve">21  Exceptions and review</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21.1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An exception to this policy may be granted only by [a principal], in writing, for a stated purpose and period, and must be recorded with the reasons for it. Clause 7.1 is not subject to exception.</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21.2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policy is reviewed at least annually, and on any amendment to the instruments at Schedule 5, any change to the regulatory guidance on which it rests, or any incident under clause 19 that indicates a deficiency in it. The instruments at Schedule 5 are themselves under periodic review by the courts that issued them, and several have already been amended.</w:t>
      </w:r>
    </w:p>
    <w:p>
      <w:pPr>
        <w:tabs>
          <w:tab w:val="left" w:pos="680"/>
        </w:tabs>
        <w:spacing w:after="160" w:line="264"/>
        <w:ind w:left="680" w:hanging="680"/>
        <w:jc w:val="both"/>
      </w:pPr>
      <w:r>
        <w:rPr>
          <w:rFonts w:ascii="Calibri" w:cs="Calibri" w:eastAsia="Calibri" w:hAnsi="Calibri"/>
          <w:b w:val="false"/>
          <w:bCs w:val="false"/>
          <w:i w:val="false"/>
          <w:iCs w:val="false"/>
          <w:sz w:val="21"/>
          <w:szCs w:val="21"/>
        </w:rPr>
        <w:t xml:space="preserve">21.3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version history is recorded in the document control table at the front of this policy.</w:t>
      </w:r>
    </w:p>
    <w:p>
      <w:r>
        <w:br w:type="page"/>
      </w:r>
    </w:p>
    <w:p>
      <w:pPr>
        <w:pStyle w:val="Heading1"/>
        <w:spacing w:after="140" w:before="320"/>
      </w:pPr>
      <w:r>
        <w:rPr>
          <w:rFonts w:ascii="Calibri" w:cs="Calibri" w:eastAsia="Calibri" w:hAnsi="Calibri"/>
          <w:b/>
          <w:bCs/>
          <w:i w:val="false"/>
          <w:iCs w:val="false"/>
          <w:sz w:val="25"/>
          <w:szCs w:val="25"/>
        </w:rPr>
        <w:t xml:space="preserve">Schedule 1  Approved Tools Register</w:t>
      </w:r>
    </w:p>
    <w:p>
      <w:pPr>
        <w:spacing w:after="200" w:line="252"/>
        <w:ind w:left="340" w:right="340"/>
        <w:jc w:val="both"/>
      </w:pPr>
      <w:r>
        <w:rPr>
          <w:rFonts w:ascii="Calibri" w:cs="Calibri" w:eastAsia="Calibri" w:hAnsi="Calibri"/>
          <w:b w:val="false"/>
          <w:bCs w:val="false"/>
          <w:i/>
          <w:iCs/>
          <w:color w:val="595959"/>
          <w:sz w:val="19"/>
          <w:szCs w:val="19"/>
        </w:rPr>
        <w:t xml:space="preserve">No tool is approved until it appears in this table. The row below is an illustration of the level of detail required and is not an approval. The matters at clause 6.5 are to be recorded in full in the underlying assessment, which is kept with this register.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1450"/>
        <w:gridCol w:w="1750"/>
        <w:gridCol w:w="1500"/>
        <w:gridCol w:w="1200"/>
        <w:gridCol w:w="1400"/>
      </w:tblGrid>
      <w:tr>
        <w:trPr>
          <w:tblHeader/>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Tool and version</w:t>
            </w:r>
          </w:p>
        </w:tc>
        <w:tc>
          <w:tcPr>
            <w:tcW w:type="dxa" w:w="14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Account or tenancy</w:t>
            </w:r>
          </w:p>
        </w:tc>
        <w:tc>
          <w:tcPr>
            <w:tcW w:type="dxa" w:w="17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Permitted uses</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Data location</w:t>
            </w:r>
          </w:p>
        </w:tc>
        <w:tc>
          <w:tcPr>
            <w:tcW w:type="dxa" w:w="1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Retention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Approved / review</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[Tool name]</w:t>
            </w:r>
          </w:p>
          <w:p>
            <w:pPr>
              <w:spacing w:after="0" w:line="240"/>
            </w:pPr>
            <w:r>
              <w:rPr>
                <w:rFonts w:ascii="Calibri" w:cs="Calibri" w:eastAsia="Calibri" w:hAnsi="Calibri"/>
                <w:b w:val="false"/>
                <w:bCs w:val="false"/>
                <w:i w:val="false"/>
                <w:iCs w:val="false"/>
                <w:sz w:val="19"/>
                <w:szCs w:val="19"/>
              </w:rPr>
              <w:t xml:space="preserve">[version or plan]</w:t>
            </w:r>
          </w:p>
        </w:tc>
        <w:tc>
          <w:tcPr>
            <w:tcW w:type="dxa" w:w="1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tenancy]</w:t>
            </w:r>
          </w:p>
          <w:p>
            <w:pPr>
              <w:spacing w:after="0" w:line="240"/>
            </w:pPr>
            <w:r>
              <w:rPr>
                <w:rFonts w:ascii="Calibri" w:cs="Calibri" w:eastAsia="Calibri" w:hAnsi="Calibri"/>
                <w:b w:val="false"/>
                <w:bCs w:val="false"/>
                <w:i w:val="false"/>
                <w:iCs w:val="false"/>
                <w:sz w:val="19"/>
                <w:szCs w:val="19"/>
              </w:rPr>
              <w:t xml:space="preserve">[no personal accounts]</w:t>
            </w:r>
          </w:p>
        </w:tc>
        <w:tc>
          <w:tcPr>
            <w:tcW w:type="dxa" w:w="17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[Research, summarising, first drafts]</w:t>
            </w:r>
          </w:p>
          <w:p>
            <w:pPr>
              <w:spacing w:after="0" w:line="240"/>
            </w:pPr>
            <w:r>
              <w:rPr>
                <w:rFonts w:ascii="Calibri" w:cs="Calibri" w:eastAsia="Calibri" w:hAnsi="Calibri"/>
                <w:b w:val="false"/>
                <w:bCs w:val="false"/>
                <w:i w:val="false"/>
                <w:iCs w:val="false"/>
                <w:sz w:val="19"/>
                <w:szCs w:val="19"/>
              </w:rPr>
              <w:t xml:space="preserve">[Not approved for restricted information]</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[Country]</w:t>
            </w:r>
          </w:p>
          <w:p>
            <w:pPr>
              <w:spacing w:after="0" w:line="240"/>
            </w:pPr>
            <w:r>
              <w:rPr>
                <w:rFonts w:ascii="Calibri" w:cs="Calibri" w:eastAsia="Calibri" w:hAnsi="Calibri"/>
                <w:b w:val="false"/>
                <w:bCs w:val="false"/>
                <w:i w:val="false"/>
                <w:iCs w:val="false"/>
                <w:sz w:val="19"/>
                <w:szCs w:val="19"/>
              </w:rPr>
              <w:t xml:space="preserve">[APP 8 basis]</w:t>
            </w:r>
          </w:p>
        </w:tc>
        <w:tc>
          <w:tcPr>
            <w:tcW w:type="dxa" w:w="1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[Period]</w:t>
            </w:r>
          </w:p>
          <w:p>
            <w:pPr>
              <w:spacing w:after="0" w:line="240"/>
            </w:pPr>
            <w:r>
              <w:rPr>
                <w:rFonts w:ascii="Calibri" w:cs="Calibri" w:eastAsia="Calibri" w:hAnsi="Calibri"/>
                <w:b w:val="false"/>
                <w:bCs w:val="false"/>
                <w:i w:val="false"/>
                <w:iCs w:val="false"/>
                <w:sz w:val="19"/>
                <w:szCs w:val="19"/>
              </w:rPr>
              <w:t xml:space="preserve">[training off, verified]</w:t>
            </w:r>
          </w:p>
        </w:tc>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w:t>
            </w:r>
          </w:p>
          <w:p>
            <w:pPr>
              <w:spacing w:after="0" w:line="240"/>
            </w:pPr>
            <w:r>
              <w:rPr>
                <w:rFonts w:ascii="Calibri" w:cs="Calibri" w:eastAsia="Calibri" w:hAnsi="Calibri"/>
                <w:b w:val="false"/>
                <w:bCs w:val="false"/>
                <w:i w:val="false"/>
                <w:iCs w:val="false"/>
                <w:sz w:val="19"/>
                <w:szCs w:val="19"/>
              </w:rPr>
              <w:t xml:space="preserve">[Review date]</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7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7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pPr>
        <w:spacing w:after="200"/>
      </w:pPr>
      <w:r>
        <w:rPr>
          <w:rFonts w:ascii="Calibri" w:cs="Calibri" w:eastAsia="Calibri" w:hAnsi="Calibri"/>
          <w:b w:val="false"/>
          <w:bCs w:val="false"/>
          <w:i w:val="false"/>
          <w:iCs w:val="false"/>
          <w:sz w:val="21"/>
          <w:szCs w:val="21"/>
        </w:rPr>
        <w:t xml:space="preserve"/>
      </w:r>
    </w:p>
    <w:p>
      <w:pPr>
        <w:spacing w:after="160" w:line="264"/>
        <w:ind w:left="680"/>
        <w:jc w:val="both"/>
      </w:pPr>
      <w:r>
        <w:rPr>
          <w:rFonts w:ascii="Calibri" w:cs="Calibri" w:eastAsia="Calibri" w:hAnsi="Calibri"/>
          <w:b w:val="false"/>
          <w:bCs w:val="false"/>
          <w:i w:val="false"/>
          <w:iCs w:val="false"/>
          <w:sz w:val="21"/>
          <w:szCs w:val="21"/>
        </w:rPr>
        <w:t xml:space="preserve">A tool may be recorded as not approved for use with restricted information under clause 8 while remaining approved for other purposes. Where that is the case it must be stated in the permitted uses column.</w:t>
      </w:r>
    </w:p>
    <w:p>
      <w:r>
        <w:br w:type="page"/>
      </w:r>
    </w:p>
    <w:p>
      <w:pPr>
        <w:pStyle w:val="Heading1"/>
        <w:spacing w:after="140" w:before="320"/>
      </w:pPr>
      <w:r>
        <w:rPr>
          <w:rFonts w:ascii="Calibri" w:cs="Calibri" w:eastAsia="Calibri" w:hAnsi="Calibri"/>
          <w:b/>
          <w:bCs/>
          <w:i w:val="false"/>
          <w:iCs w:val="false"/>
          <w:sz w:val="25"/>
          <w:szCs w:val="25"/>
        </w:rPr>
        <w:t xml:space="preserve">Schedule 2  AI Use Record</w:t>
      </w:r>
    </w:p>
    <w:p>
      <w:pPr>
        <w:spacing w:after="200" w:line="252"/>
        <w:ind w:left="340" w:right="340"/>
        <w:jc w:val="both"/>
      </w:pPr>
      <w:r>
        <w:rPr>
          <w:rFonts w:ascii="Calibri" w:cs="Calibri" w:eastAsia="Calibri" w:hAnsi="Calibri"/>
          <w:b w:val="false"/>
          <w:bCs w:val="false"/>
          <w:i/>
          <w:iCs/>
          <w:color w:val="595959"/>
          <w:sz w:val="19"/>
          <w:szCs w:val="19"/>
        </w:rPr>
        <w:t xml:space="preserve">To be completed and placed on the matter file where clause 16.1 applies.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Item</w:t>
            </w:r>
          </w:p>
        </w:tc>
        <w:tc>
          <w:tcPr>
            <w:tcW w:type="dxa" w:w="6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Detail</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Matter and client</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of use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Person who used the tool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Tool and version</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Purpose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Material provided to the tool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Use made of the output</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Specific portions of any document</w:t>
            </w:r>
          </w:p>
          <w:p>
            <w:pPr>
              <w:spacing w:after="0" w:line="240"/>
            </w:pPr>
            <w:r>
              <w:rPr>
                <w:rFonts w:ascii="Calibri" w:cs="Calibri" w:eastAsia="Calibri" w:hAnsi="Calibri"/>
                <w:b w:val="false"/>
                <w:bCs w:val="false"/>
                <w:i w:val="false"/>
                <w:iCs w:val="false"/>
                <w:sz w:val="19"/>
                <w:szCs w:val="19"/>
              </w:rPr>
              <w:t xml:space="preserve">produced with assistance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Verified by, and against what source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of verification</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Disclosure made to the court, if any</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Clause 8 approval reference, if any</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r>
        <w:br w:type="page"/>
      </w:r>
    </w:p>
    <w:p>
      <w:pPr>
        <w:pStyle w:val="Heading1"/>
        <w:spacing w:after="140" w:before="320"/>
      </w:pPr>
      <w:r>
        <w:rPr>
          <w:rFonts w:ascii="Calibri" w:cs="Calibri" w:eastAsia="Calibri" w:hAnsi="Calibri"/>
          <w:b/>
          <w:bCs/>
          <w:i w:val="false"/>
          <w:iCs w:val="false"/>
          <w:sz w:val="25"/>
          <w:szCs w:val="25"/>
        </w:rPr>
        <w:t xml:space="preserve">Schedule 3  Standard wordings</w:t>
      </w:r>
    </w:p>
    <w:p>
      <w:pPr>
        <w:spacing w:after="200" w:line="252"/>
        <w:ind w:left="340" w:right="340"/>
        <w:jc w:val="both"/>
      </w:pPr>
      <w:r>
        <w:rPr>
          <w:rFonts w:ascii="Calibri" w:cs="Calibri" w:eastAsia="Calibri" w:hAnsi="Calibri"/>
          <w:b w:val="false"/>
          <w:bCs w:val="false"/>
          <w:i/>
          <w:iCs/>
          <w:color w:val="595959"/>
          <w:sz w:val="19"/>
          <w:szCs w:val="19"/>
        </w:rPr>
        <w:t xml:space="preserve">These wordings are drafted against the requirements described in clauses 10 to 12. Check them against the instrument that applies in the relevant court before use, and adjust the engagement wording to the practice's costs agreement.</w:t>
      </w:r>
    </w:p>
    <w:p>
      <w:pPr>
        <w:pStyle w:val="Heading2"/>
        <w:spacing w:after="100" w:before="220"/>
      </w:pPr>
      <w:r>
        <w:rPr>
          <w:rFonts w:ascii="Calibri" w:cs="Calibri" w:eastAsia="Calibri" w:hAnsi="Calibri"/>
          <w:b/>
          <w:bCs/>
          <w:i w:val="false"/>
          <w:iCs w:val="false"/>
          <w:sz w:val="22"/>
          <w:szCs w:val="22"/>
        </w:rPr>
        <w:t xml:space="preserve">Written submissions</w:t>
      </w:r>
    </w:p>
    <w:p>
      <w:pPr>
        <w:pBdr>
          <w:left w:val="single" w:color="BFBFBF" w:sz="12" w:space="12"/>
        </w:pBdr>
        <w:spacing w:after="200" w:before="80" w:line="264"/>
        <w:ind w:left="680" w:right="340"/>
        <w:jc w:val="both"/>
      </w:pPr>
      <w:r>
        <w:rPr>
          <w:rFonts w:ascii="Calibri" w:cs="Calibri" w:eastAsia="Calibri" w:hAnsi="Calibri"/>
          <w:b w:val="false"/>
          <w:bCs w:val="false"/>
          <w:i w:val="false"/>
          <w:iCs w:val="false"/>
          <w:sz w:val="21"/>
          <w:szCs w:val="21"/>
        </w:rPr>
        <w:t xml:space="preserve">The preparation of these submissions involved the use of a generative artificial intelligence tool. All citations, legal and academic authority, case law and legislative references in these submissions exist, are accurate and are relevant to these proceedings. All references to evidence, whether contained in affidavits or transcript, have been verified to the same standard. That verification was not carried out by a generative artificial intelligence tool.</w:t>
      </w:r>
    </w:p>
    <w:p>
      <w:pPr>
        <w:pStyle w:val="Heading2"/>
        <w:spacing w:after="100" w:before="220"/>
      </w:pPr>
      <w:r>
        <w:rPr>
          <w:rFonts w:ascii="Calibri" w:cs="Calibri" w:eastAsia="Calibri" w:hAnsi="Calibri"/>
          <w:b/>
          <w:bCs/>
          <w:i w:val="false"/>
          <w:iCs w:val="false"/>
          <w:sz w:val="22"/>
          <w:szCs w:val="22"/>
        </w:rPr>
        <w:t xml:space="preserve">Affidavit, witness statement or character reference</w:t>
      </w:r>
    </w:p>
    <w:p>
      <w:pPr>
        <w:pBdr>
          <w:left w:val="single" w:color="BFBFBF" w:sz="12" w:space="12"/>
        </w:pBdr>
        <w:spacing w:after="200" w:before="80" w:line="264"/>
        <w:ind w:left="680" w:right="340"/>
        <w:jc w:val="both"/>
      </w:pPr>
      <w:r>
        <w:rPr>
          <w:rFonts w:ascii="Calibri" w:cs="Calibri" w:eastAsia="Calibri" w:hAnsi="Calibri"/>
          <w:b w:val="false"/>
          <w:bCs w:val="false"/>
          <w:i w:val="false"/>
          <w:iCs w:val="false"/>
          <w:sz w:val="21"/>
          <w:szCs w:val="21"/>
        </w:rPr>
        <w:t xml:space="preserve">Generative artificial intelligence was not used in generating the content of this affidavit, including by altering, embellishing, strengthening, diluting or rephrasing my evidence.</w:t>
      </w:r>
    </w:p>
    <w:p>
      <w:pPr>
        <w:spacing w:after="160" w:line="264"/>
        <w:ind w:left="680"/>
        <w:jc w:val="both"/>
      </w:pPr>
      <w:r>
        <w:rPr>
          <w:rFonts w:ascii="Calibri" w:cs="Calibri" w:eastAsia="Calibri" w:hAnsi="Calibri"/>
          <w:b w:val="false"/>
          <w:bCs w:val="false"/>
          <w:i w:val="false"/>
          <w:iCs w:val="false"/>
          <w:sz w:val="21"/>
          <w:szCs w:val="21"/>
        </w:rPr>
        <w:t xml:space="preserve">Where leave has been obtained in relation to an annexure or exhibit prepared for the purposes of the evidence, the disclosure is extended to identify that annexure or exhibit and the leave granted.</w:t>
      </w:r>
    </w:p>
    <w:p>
      <w:pPr>
        <w:pStyle w:val="Heading2"/>
        <w:spacing w:after="100" w:before="220"/>
      </w:pPr>
      <w:r>
        <w:rPr>
          <w:rFonts w:ascii="Calibri" w:cs="Calibri" w:eastAsia="Calibri" w:hAnsi="Calibri"/>
          <w:b/>
          <w:bCs/>
          <w:i w:val="false"/>
          <w:iCs w:val="false"/>
          <w:sz w:val="22"/>
          <w:szCs w:val="22"/>
        </w:rPr>
        <w:t xml:space="preserve">Disclosure of use in evidentiary material</w:t>
      </w:r>
    </w:p>
    <w:p>
      <w:pPr>
        <w:pBdr>
          <w:left w:val="single" w:color="BFBFBF" w:sz="12" w:space="12"/>
        </w:pBdr>
        <w:spacing w:after="200" w:before="80" w:line="264"/>
        <w:ind w:left="680" w:right="340"/>
        <w:jc w:val="both"/>
      </w:pPr>
      <w:r>
        <w:rPr>
          <w:rFonts w:ascii="Calibri" w:cs="Calibri" w:eastAsia="Calibri" w:hAnsi="Calibri"/>
          <w:b w:val="false"/>
          <w:bCs w:val="false"/>
          <w:i w:val="false"/>
          <w:iCs w:val="false"/>
          <w:sz w:val="21"/>
          <w:szCs w:val="21"/>
        </w:rPr>
        <w:t xml:space="preserve">Generative artificial intelligence was used in the preparation of this document as follows. [Tool and version] was used to [summarise the documents listed at paragraph X / analyse the data at annexure Y]. The output appears at [paragraphs / annexure]. It was reviewed and verified by [name] against the source documents. No other use was made of generative artificial intelligence in the preparation of this document.</w:t>
      </w:r>
    </w:p>
    <w:p>
      <w:pPr>
        <w:pStyle w:val="Heading2"/>
        <w:spacing w:after="100" w:before="220"/>
      </w:pPr>
      <w:r>
        <w:rPr>
          <w:rFonts w:ascii="Calibri" w:cs="Calibri" w:eastAsia="Calibri" w:hAnsi="Calibri"/>
          <w:b/>
          <w:bCs/>
          <w:i w:val="false"/>
          <w:iCs w:val="false"/>
          <w:sz w:val="22"/>
          <w:szCs w:val="22"/>
        </w:rPr>
        <w:t xml:space="preserve">Response to a direction to identify portions and verification</w:t>
      </w:r>
    </w:p>
    <w:p>
      <w:pPr>
        <w:pBdr>
          <w:left w:val="single" w:color="BFBFBF" w:sz="12" w:space="12"/>
        </w:pBdr>
        <w:spacing w:after="200" w:before="80" w:line="264"/>
        <w:ind w:left="680" w:right="340"/>
        <w:jc w:val="both"/>
      </w:pPr>
      <w:r>
        <w:rPr>
          <w:rFonts w:ascii="Calibri" w:cs="Calibri" w:eastAsia="Calibri" w:hAnsi="Calibri"/>
          <w:b w:val="false"/>
          <w:bCs w:val="false"/>
          <w:i w:val="false"/>
          <w:iCs w:val="false"/>
          <w:sz w:val="21"/>
          <w:szCs w:val="21"/>
        </w:rPr>
        <w:t xml:space="preserve">The portions of [document] produced with the assistance of a generative artificial intelligence tool are [identify precisely]. The tool used was [name and version], accessed through the practice's [account or tenancy]. Verification was carried out by [name], a [position], on [date], by reading each authority in [authorised reports / AustLII] and each legislative provision on [authorised site], and by checking each reference to evidence against the affidavit or transcript in which it appears. No part of that verification was carried out using a generative artificial intelligence tool.</w:t>
      </w:r>
    </w:p>
    <w:p>
      <w:pPr>
        <w:pStyle w:val="Heading2"/>
        <w:spacing w:after="100" w:before="220"/>
      </w:pPr>
      <w:r>
        <w:rPr>
          <w:rFonts w:ascii="Calibri" w:cs="Calibri" w:eastAsia="Calibri" w:hAnsi="Calibri"/>
          <w:b/>
          <w:bCs/>
          <w:i w:val="false"/>
          <w:iCs w:val="false"/>
          <w:sz w:val="22"/>
          <w:szCs w:val="22"/>
        </w:rPr>
        <w:t xml:space="preserve">Engagement documents</w:t>
      </w:r>
    </w:p>
    <w:p>
      <w:pPr>
        <w:pBdr>
          <w:left w:val="single" w:color="BFBFBF" w:sz="12" w:space="12"/>
        </w:pBdr>
        <w:spacing w:after="200" w:before="80" w:line="264"/>
        <w:ind w:left="680" w:right="340"/>
        <w:jc w:val="both"/>
      </w:pPr>
      <w:r>
        <w:rPr>
          <w:rFonts w:ascii="Calibri" w:cs="Calibri" w:eastAsia="Calibri" w:hAnsi="Calibri"/>
          <w:b w:val="false"/>
          <w:bCs w:val="false"/>
          <w:i w:val="false"/>
          <w:iCs w:val="false"/>
          <w:sz w:val="21"/>
          <w:szCs w:val="21"/>
        </w:rPr>
        <w:t xml:space="preserve">We use artificial intelligence tools to assist with parts of our work, such as research, summarising documents and preparing drafts. We only use tools this practice has assessed and approved, under contractual terms that prevent your information being used to train a supplier's systems. A solicitor reviews and verifies all work before it is provided to you or filed in a court, and remains responsible for it. Any time saved is reflected in what we charge you. We will tell you and obtain your agreement before using an artificial intelligence tool in any way that goes beyond this. A copy of our artificial intelligence policy is available on request. If you would prefer that we did not use these tools on your matter, tell us and we will accommodate that request.</w:t>
      </w:r>
    </w:p>
    <w:p>
      <w:pPr>
        <w:pStyle w:val="Heading2"/>
        <w:spacing w:after="100" w:before="220"/>
      </w:pPr>
      <w:r>
        <w:rPr>
          <w:rFonts w:ascii="Calibri" w:cs="Calibri" w:eastAsia="Calibri" w:hAnsi="Calibri"/>
          <w:b/>
          <w:bCs/>
          <w:i w:val="false"/>
          <w:iCs w:val="false"/>
          <w:sz w:val="22"/>
          <w:szCs w:val="22"/>
        </w:rPr>
        <w:t xml:space="preserve">Warning to the client about their own use</w:t>
      </w:r>
    </w:p>
    <w:p>
      <w:pPr>
        <w:pBdr>
          <w:left w:val="single" w:color="BFBFBF" w:sz="12" w:space="12"/>
        </w:pBdr>
        <w:spacing w:after="200" w:before="80" w:line="264"/>
        <w:ind w:left="680" w:right="340"/>
        <w:jc w:val="both"/>
      </w:pPr>
      <w:r>
        <w:rPr>
          <w:rFonts w:ascii="Calibri" w:cs="Calibri" w:eastAsia="Calibri" w:hAnsi="Calibri"/>
          <w:b w:val="false"/>
          <w:bCs w:val="false"/>
          <w:i w:val="false"/>
          <w:iCs w:val="false"/>
          <w:sz w:val="21"/>
          <w:szCs w:val="21"/>
        </w:rPr>
        <w:t xml:space="preserve">Please do not enter our advice, our correspondence with you, or documents about your matter into a publicly available artificial intelligence tool such as a free chatbot. Communications between us are confidential, and that confidentiality is what makes them privileged, meaning you cannot generally be compelled to disclose them. Putting them into a public tool may destroy that confidentiality and may mean the privilege is lost. If you want to use an artificial intelligence tool in connection with your matter, speak to us first.</w:t>
      </w:r>
    </w:p>
    <w:p>
      <w:pPr>
        <w:pStyle w:val="Heading2"/>
        <w:spacing w:after="100" w:before="220"/>
      </w:pPr>
      <w:r>
        <w:rPr>
          <w:rFonts w:ascii="Calibri" w:cs="Calibri" w:eastAsia="Calibri" w:hAnsi="Calibri"/>
          <w:b/>
          <w:bCs/>
          <w:i w:val="false"/>
          <w:iCs w:val="false"/>
          <w:sz w:val="22"/>
          <w:szCs w:val="22"/>
        </w:rPr>
        <w:t xml:space="preserve">Letter of instruction to an expert</w:t>
      </w:r>
    </w:p>
    <w:p>
      <w:pPr>
        <w:pBdr>
          <w:left w:val="single" w:color="BFBFBF" w:sz="12" w:space="12"/>
        </w:pBdr>
        <w:spacing w:after="200" w:before="80" w:line="264"/>
        <w:ind w:left="680" w:right="340"/>
        <w:jc w:val="both"/>
      </w:pPr>
      <w:r>
        <w:rPr>
          <w:rFonts w:ascii="Calibri" w:cs="Calibri" w:eastAsia="Calibri" w:hAnsi="Calibri"/>
          <w:b w:val="false"/>
          <w:bCs w:val="false"/>
          <w:i w:val="false"/>
          <w:iCs w:val="false"/>
          <w:sz w:val="21"/>
          <w:szCs w:val="21"/>
        </w:rPr>
        <w:t xml:space="preserve">The court in which this proceeding is brought regulates the use of generative artificial intelligence by expert witnesses. You must not use any generative artificial intelligence tool to draft or prepare the content of your report, or any part of it, without the prior leave of the court. If you have used, or propose to use, any such tool for any purpose connected with your report, including to summarise or analyse material on which you rely, tell us before you proceed so that we can address the position with the court. Your report must state your own opinion and your own process of reasoning, and must comply with [the applicable expert code of conduct or practice note].</w:t>
      </w:r>
    </w:p>
    <w:p>
      <w:r>
        <w:br w:type="page"/>
      </w:r>
    </w:p>
    <w:p>
      <w:pPr>
        <w:pStyle w:val="Heading1"/>
        <w:spacing w:after="140" w:before="320"/>
      </w:pPr>
      <w:r>
        <w:rPr>
          <w:rFonts w:ascii="Calibri" w:cs="Calibri" w:eastAsia="Calibri" w:hAnsi="Calibri"/>
          <w:b/>
          <w:bCs/>
          <w:i w:val="false"/>
          <w:iCs w:val="false"/>
          <w:sz w:val="25"/>
          <w:szCs w:val="25"/>
        </w:rPr>
        <w:t xml:space="preserve">Schedule 4  Restricted information approval</w:t>
      </w:r>
    </w:p>
    <w:p>
      <w:pPr>
        <w:spacing w:after="200" w:line="252"/>
        <w:ind w:left="340" w:right="340"/>
        <w:jc w:val="both"/>
      </w:pPr>
      <w:r>
        <w:rPr>
          <w:rFonts w:ascii="Calibri" w:cs="Calibri" w:eastAsia="Calibri" w:hAnsi="Calibri"/>
          <w:b w:val="false"/>
          <w:bCs w:val="false"/>
          <w:i/>
          <w:iCs/>
          <w:color w:val="595959"/>
          <w:sz w:val="19"/>
          <w:szCs w:val="19"/>
        </w:rPr>
        <w:t xml:space="preserve">To be completed by the responsible practitioner before restricted information is used with any tool, and placed on the matter file.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Item</w:t>
            </w:r>
          </w:p>
        </w:tc>
        <w:tc>
          <w:tcPr>
            <w:tcW w:type="dxa" w:w="6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Detail</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Matter and proceeding number</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Category of restricted information</w:t>
            </w:r>
          </w:p>
          <w:p>
            <w:pPr>
              <w:spacing w:after="0" w:line="240"/>
            </w:pPr>
            <w:r>
              <w:rPr>
                <w:rFonts w:ascii="Calibri" w:cs="Calibri" w:eastAsia="Calibri" w:hAnsi="Calibri"/>
                <w:b w:val="false"/>
                <w:bCs w:val="false"/>
                <w:i w:val="false"/>
                <w:iCs w:val="false"/>
                <w:sz w:val="19"/>
                <w:szCs w:val="19"/>
              </w:rPr>
              <w:t xml:space="preserve">(clause 7.2(a) to (f))</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Description of the material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Tool and version proposed</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Purpose, confined to this proceeding</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Basis for satisfaction: information remains in the controlled environment</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Basis for satisfaction: supplier bound by confidentiality, no public availability, no training</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Basis for satisfaction: use confined to this proceeding</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Basis for satisfaction: no use for training</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Client informed and consent recorded (clause 11.3)</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Responsible practitioner and date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r>
        <w:br w:type="page"/>
      </w:r>
    </w:p>
    <w:p>
      <w:pPr>
        <w:pStyle w:val="Heading1"/>
        <w:spacing w:after="140" w:before="320"/>
      </w:pPr>
      <w:r>
        <w:rPr>
          <w:rFonts w:ascii="Calibri" w:cs="Calibri" w:eastAsia="Calibri" w:hAnsi="Calibri"/>
          <w:b/>
          <w:bCs/>
          <w:i w:val="false"/>
          <w:iCs w:val="false"/>
          <w:sz w:val="25"/>
          <w:szCs w:val="25"/>
        </w:rPr>
        <w:t xml:space="preserve">Schedule 5  Court and tribunal instruments</w:t>
      </w:r>
    </w:p>
    <w:p>
      <w:pPr>
        <w:spacing w:after="200" w:line="252"/>
        <w:ind w:left="340" w:right="340"/>
        <w:jc w:val="both"/>
      </w:pPr>
      <w:r>
        <w:rPr>
          <w:rFonts w:ascii="Calibri" w:cs="Calibri" w:eastAsia="Calibri" w:hAnsi="Calibri"/>
          <w:b w:val="false"/>
          <w:bCs w:val="false"/>
          <w:i/>
          <w:iCs/>
          <w:color w:val="595959"/>
          <w:sz w:val="19"/>
          <w:szCs w:val="19"/>
        </w:rPr>
        <w:t xml:space="preserve">To be completed with the instruments in force in each jurisdiction in which the practice appears, and checked at each review. The entries below were current when this template was prepared and must be verified before the policy is adopted.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4700"/>
        <w:gridCol w:w="2200"/>
      </w:tblGrid>
      <w:tr>
        <w:trPr>
          <w:tblHeader/>
        </w:trPr>
        <w:tc>
          <w:tcPr>
            <w:tcW w:type="dxa" w:w="19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Court</w:t>
            </w:r>
          </w:p>
        </w:tc>
        <w:tc>
          <w:tcPr>
            <w:tcW w:type="dxa" w:w="4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Instrument</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Date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Supreme Court of New South Wales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Note SC Gen 23, Use of Generative Artificial Intelligence (Gen AI). Adopted in the District Court, Local Court and Land and Environment Court of New South Wales, and applied in substance by NCAT. Paragraph 9A sets the conditions for compelled material; paragraph 13 requires the affidavit disclosure; paragraphs 16 to 18 govern submissions; paragraphs 19 to 25 govern expert reports.</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28 January 2025, commenced 3 February 2025, replacing the version issued 21 November 2024</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Courts of New South Wales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Guidelines for New South Wales Judges in respect of use of Generative AI. Apply to all courts in New South Wales. Paragraph 9 permits a judge to require disclosure of use and an assurance identifying the verification process followed.</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21 November 2024</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Federal Court of Australia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Use of Generative Artificial Intelligence Practice Note (GPN-AI), to be read with the Central Practice Note (CPN-1) and the Expert Evidence Practice Note (GPN-EXPT). Paragraph 4.5 lists the confirmations expected of the responsible person; paragraphs 4.10 and 4.11 govern disclosure in evidentiary material; paragraphs 4.13 to 4.15 govern confidential, suppressed and private information.</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16 April 2026</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Federal Circuit and Family Court of Australia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Direction, Use of Artificial Intelligence. Applies to all proceedings and all court users, including litigants, lawyers and experts.</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29 May 2026</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Supreme Court of Victoria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Note SC Gen 25, The Use of Artificial Intelligence by Court Users. Applies to all court users, including lay and expert witnesses. Clause 6 states the duties of court users and the additional duties of lawyers; clause 7 states the verification requirement, including that one tool cannot be used to confirm the output of another, and that a court user must be prepared to identify the portions of a document produced using AI and explain how the output was verified. Replaced the Guidelines for Litigants of May 2024.</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and commenced 14 May 2026</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Supreme Court of Victoria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The Use of Artificial Intelligence by Judicial Officers. Records that the Court itself permits only Court-approved tools for case related matters.</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14 May 2026</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[Other jurisdictions]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 be completed]</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pPr>
        <w:spacing w:after="160" w:line="264"/>
        <w:ind w:left="680"/>
        <w:jc w:val="both"/>
      </w:pPr>
      <w:r>
        <w:rPr>
          <w:rFonts w:ascii="Calibri" w:cs="Calibri" w:eastAsia="Calibri" w:hAnsi="Calibri"/>
          <w:b w:val="false"/>
          <w:bCs w:val="false"/>
          <w:i w:val="false"/>
          <w:iCs w:val="false"/>
          <w:sz w:val="21"/>
          <w:szCs w:val="21"/>
        </w:rPr>
        <w:t xml:space="preserve">Practitioners must also consult the guidance issued by the regulatory authority for their jurisdiction, and barristers the guidance of their Bar Association. For solicitors in New South Wales, Victoria and Western Australia this includes the joint statement of the Law Society of New South Wales, the Legal Practice Board of Western Australia and the Victorian Legal Services Board and Commissioner on the use of artificial intelligence in Australian legal practice, and in New South Wales A Solicitor's Guide to Responsible Use of Artificial Intelligence published by the Law Society of New South Wales.</w:t>
      </w:r>
    </w:p>
    <w:p>
      <w:pPr>
        <w:spacing w:after="160" w:line="264"/>
        <w:ind w:left="680"/>
        <w:jc w:val="both"/>
      </w:pPr>
      <w:r>
        <w:rPr>
          <w:rFonts w:ascii="Calibri" w:cs="Calibri" w:eastAsia="Calibri" w:hAnsi="Calibri"/>
          <w:b w:val="false"/>
          <w:bCs w:val="false"/>
          <w:i w:val="false"/>
          <w:iCs w:val="false"/>
          <w:sz w:val="21"/>
          <w:szCs w:val="21"/>
        </w:rPr>
        <w:t xml:space="preserve">The judicial guidelines listed above do not bind practitioners, but they record what the court will be looking for. Under the New South Wales guidelines a judge may require a practitioner to disclose any use of generative AI in written submissions or other documents placed before the court, and to give an assurance that the documents have been verified, identifying the process of verification followed.</w:t>
      </w:r>
    </w:p>
    <w:p>
      <w:r>
        <w:br w:type="page"/>
      </w:r>
    </w:p>
    <w:p>
      <w:pPr>
        <w:pStyle w:val="Heading1"/>
        <w:spacing w:after="140" w:before="320"/>
      </w:pPr>
      <w:r>
        <w:rPr>
          <w:rFonts w:ascii="Calibri" w:cs="Calibri" w:eastAsia="Calibri" w:hAnsi="Calibri"/>
          <w:b/>
          <w:bCs/>
          <w:i w:val="false"/>
          <w:iCs w:val="false"/>
          <w:sz w:val="25"/>
          <w:szCs w:val="25"/>
        </w:rPr>
        <w:t xml:space="preserve">Schedule 6  Suitability path</w:t>
      </w:r>
    </w:p>
    <w:p>
      <w:pPr>
        <w:spacing w:after="200" w:line="252"/>
        <w:ind w:left="340" w:right="340"/>
        <w:jc w:val="both"/>
      </w:pPr>
      <w:r>
        <w:rPr>
          <w:rFonts w:ascii="Calibri" w:cs="Calibri" w:eastAsia="Calibri" w:hAnsi="Calibri"/>
          <w:b w:val="false"/>
          <w:bCs w:val="false"/>
          <w:i/>
          <w:iCs/>
          <w:color w:val="595959"/>
          <w:sz w:val="19"/>
          <w:szCs w:val="19"/>
        </w:rPr>
        <w:t xml:space="preserve">To be worked through before a tool is used on a task. If the answer at any step is no, the tool is not to be used for that task.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5400"/>
        <w:gridCol w:w="2700"/>
      </w:tblGrid>
      <w:tr>
        <w:trPr>
          <w:tblHeader/>
        </w:trPr>
        <w:tc>
          <w:tcPr>
            <w:tcW w:type="dxa" w:w="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
            </w:r>
          </w:p>
        </w:tc>
        <w:tc>
          <w:tcPr>
            <w:tcW w:type="dxa" w:w="54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Question</w:t>
            </w:r>
          </w:p>
        </w:tc>
        <w:tc>
          <w:tcPr>
            <w:tcW w:type="dxa" w:w="2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If no</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1</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 the task within the permitted uses recorded for an approved tool in Schedule 1?</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Request approval under clause 6.9.</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2</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the client's own terms permit the use of AI on this matter, and permit this supplier and this data location?</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Clause 12.2.</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3</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 the task one of drafting, summarising, extracting, rewriting or researching, which if done by hand would be repetitive or formulaic?</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 tool is unlikely to be suitable. Consider clause 5.3 and 5.4.</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4</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 the output something other than the content of a witness's evidence or an expert's opinion?</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Prohibited. Clause 7.1(a) and (b).</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5</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If restricted information is involved, is there an approval under clause 8 recorded on the file?</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until the approval is given and recorded.</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6</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Are you able to verify the output personally against primary sources, or is a practitioner who can do so reviewing it?</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Clause 9.2 and 9.6, and clause 13.3.</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7</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Will the use reduce, or at least not increase, the cost to the client?</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Reconsider. Clause 14.3.</w:t>
            </w:r>
          </w:p>
        </w:tc>
      </w:tr>
    </w:tbl>
    <w:p>
      <w:r>
        <w:br w:type="page"/>
      </w:r>
    </w:p>
    <w:p>
      <w:pPr>
        <w:pStyle w:val="Heading1"/>
        <w:spacing w:after="140" w:before="320"/>
      </w:pPr>
      <w:r>
        <w:rPr>
          <w:rFonts w:ascii="Calibri" w:cs="Calibri" w:eastAsia="Calibri" w:hAnsi="Calibri"/>
          <w:b/>
          <w:bCs/>
          <w:i w:val="false"/>
          <w:iCs w:val="false"/>
          <w:sz w:val="25"/>
          <w:szCs w:val="25"/>
        </w:rPr>
        <w:t xml:space="preserve">Schedule 7  Indicators of unverified or undisclosed use</w:t>
      </w:r>
    </w:p>
    <w:p>
      <w:pPr>
        <w:spacing w:after="200" w:line="252"/>
        <w:ind w:left="340" w:right="340"/>
        <w:jc w:val="both"/>
      </w:pPr>
      <w:r>
        <w:rPr>
          <w:rFonts w:ascii="Calibri" w:cs="Calibri" w:eastAsia="Calibri" w:hAnsi="Calibri"/>
          <w:b w:val="false"/>
          <w:bCs w:val="false"/>
          <w:i/>
          <w:iCs/>
          <w:color w:val="595959"/>
          <w:sz w:val="19"/>
          <w:szCs w:val="19"/>
        </w:rPr>
        <w:t xml:space="preserve">Drawn from the indicators identified in the judicial guidelines. A supervisor who sees any of these must make further inquiry before the document is settled.</w:t>
      </w:r>
    </w:p>
    <w:p>
      <w:pPr>
        <w:spacing w:after="160" w:line="264"/>
        <w:ind w:left="680"/>
        <w:jc w:val="both"/>
      </w:pPr>
      <w:r>
        <w:rPr>
          <w:rFonts w:ascii="Calibri" w:cs="Calibri" w:eastAsia="Calibri" w:hAnsi="Calibri"/>
          <w:b w:val="false"/>
          <w:bCs w:val="false"/>
          <w:i w:val="false"/>
          <w:iCs w:val="false"/>
          <w:sz w:val="21"/>
          <w:szCs w:val="21"/>
        </w:rPr>
        <w:t xml:space="preserve">A citation that cannot be found, or that does not match the parties, court or year given for it.</w:t>
      </w:r>
    </w:p>
    <w:p>
      <w:pPr>
        <w:spacing w:after="160" w:line="264"/>
        <w:ind w:left="680"/>
        <w:jc w:val="both"/>
      </w:pPr>
      <w:r>
        <w:rPr>
          <w:rFonts w:ascii="Calibri" w:cs="Calibri" w:eastAsia="Calibri" w:hAnsi="Calibri"/>
          <w:b w:val="false"/>
          <w:bCs w:val="false"/>
          <w:i w:val="false"/>
          <w:iCs w:val="false"/>
          <w:sz w:val="21"/>
          <w:szCs w:val="21"/>
        </w:rPr>
        <w:t xml:space="preserve">An analysis of the law that is out of date, incomplete, or does not account for a recent development.</w:t>
      </w:r>
    </w:p>
    <w:p>
      <w:pPr>
        <w:spacing w:after="160" w:line="264"/>
        <w:ind w:left="680"/>
        <w:jc w:val="both"/>
      </w:pPr>
      <w:r>
        <w:rPr>
          <w:rFonts w:ascii="Calibri" w:cs="Calibri" w:eastAsia="Calibri" w:hAnsi="Calibri"/>
          <w:b w:val="false"/>
          <w:bCs w:val="false"/>
          <w:i w:val="false"/>
          <w:iCs w:val="false"/>
          <w:sz w:val="21"/>
          <w:szCs w:val="21"/>
        </w:rPr>
        <w:t xml:space="preserve">Authority drawn from another jurisdiction and applied without adjustment for substantive or procedural differences.</w:t>
      </w:r>
    </w:p>
    <w:p>
      <w:pPr>
        <w:spacing w:after="160" w:line="264"/>
        <w:ind w:left="680"/>
        <w:jc w:val="both"/>
      </w:pPr>
      <w:r>
        <w:rPr>
          <w:rFonts w:ascii="Calibri" w:cs="Calibri" w:eastAsia="Calibri" w:hAnsi="Calibri"/>
          <w:b w:val="false"/>
          <w:bCs w:val="false"/>
          <w:i w:val="false"/>
          <w:iCs w:val="false"/>
          <w:sz w:val="21"/>
          <w:szCs w:val="21"/>
        </w:rPr>
        <w:t xml:space="preserve">A submission that diverges from the reader's understanding of the applicable law, or contains an obvious substantive error.</w:t>
      </w:r>
    </w:p>
    <w:p>
      <w:pPr>
        <w:spacing w:after="160" w:line="264"/>
        <w:ind w:left="680"/>
        <w:jc w:val="both"/>
      </w:pPr>
      <w:r>
        <w:rPr>
          <w:rFonts w:ascii="Calibri" w:cs="Calibri" w:eastAsia="Calibri" w:hAnsi="Calibri"/>
          <w:b w:val="false"/>
          <w:bCs w:val="false"/>
          <w:i w:val="false"/>
          <w:iCs w:val="false"/>
          <w:sz w:val="21"/>
          <w:szCs w:val="21"/>
        </w:rPr>
        <w:t xml:space="preserve">Non-specific or repetitive language, or a document that reads as though it could apply to any matter.</w:t>
      </w:r>
    </w:p>
    <w:p>
      <w:pPr>
        <w:spacing w:after="160" w:line="264"/>
        <w:ind w:left="680"/>
        <w:jc w:val="both"/>
      </w:pPr>
      <w:r>
        <w:rPr>
          <w:rFonts w:ascii="Calibri" w:cs="Calibri" w:eastAsia="Calibri" w:hAnsi="Calibri"/>
          <w:b w:val="false"/>
          <w:bCs w:val="false"/>
          <w:i w:val="false"/>
          <w:iCs w:val="false"/>
          <w:sz w:val="21"/>
          <w:szCs w:val="21"/>
        </w:rPr>
        <w:t xml:space="preserve">Expressions or spellings associated with another jurisdiction.</w:t>
      </w:r>
    </w:p>
    <w:p>
      <w:pPr>
        <w:spacing w:after="160" w:line="264"/>
        <w:ind w:left="680"/>
        <w:jc w:val="both"/>
      </w:pPr>
      <w:r>
        <w:rPr>
          <w:rFonts w:ascii="Calibri" w:cs="Calibri" w:eastAsia="Calibri" w:hAnsi="Calibri"/>
          <w:b w:val="false"/>
          <w:bCs w:val="false"/>
          <w:i w:val="false"/>
          <w:iCs w:val="false"/>
          <w:sz w:val="21"/>
          <w:szCs w:val="21"/>
        </w:rPr>
        <w:t xml:space="preserve">A quotation that is fluent and apt but cannot be located in the source given for it.</w:t>
      </w:r>
    </w:p>
    <w:p>
      <w:r>
        <w:br w:type="page"/>
      </w:r>
    </w:p>
    <w:p>
      <w:pPr>
        <w:pStyle w:val="Heading1"/>
        <w:spacing w:after="140" w:before="320"/>
      </w:pPr>
      <w:r>
        <w:rPr>
          <w:rFonts w:ascii="Calibri" w:cs="Calibri" w:eastAsia="Calibri" w:hAnsi="Calibri"/>
          <w:b/>
          <w:bCs/>
          <w:i w:val="false"/>
          <w:iCs w:val="false"/>
          <w:sz w:val="25"/>
          <w:szCs w:val="25"/>
        </w:rPr>
        <w:t xml:space="preserve">Schedule 8  Quick reference</w:t>
      </w:r>
    </w:p>
    <w:p>
      <w:pPr>
        <w:spacing w:after="200" w:line="252"/>
        <w:ind w:left="340" w:right="340"/>
        <w:jc w:val="both"/>
      </w:pPr>
      <w:r>
        <w:rPr>
          <w:rFonts w:ascii="Calibri" w:cs="Calibri" w:eastAsia="Calibri" w:hAnsi="Calibri"/>
          <w:b w:val="false"/>
          <w:bCs w:val="false"/>
          <w:i/>
          <w:iCs/>
          <w:color w:val="595959"/>
          <w:sz w:val="19"/>
          <w:szCs w:val="19"/>
        </w:rPr>
        <w:t xml:space="preserve">A summary for daily use. It does not replace the policy.</w:t>
      </w:r>
    </w:p>
    <w:p>
      <w:pPr>
        <w:spacing w:after="160" w:line="264"/>
        <w:ind w:left="680"/>
        <w:jc w:val="both"/>
      </w:pPr>
      <w:r>
        <w:rPr>
          <w:rFonts w:ascii="Calibri" w:cs="Calibri" w:eastAsia="Calibri" w:hAnsi="Calibri"/>
          <w:b w:val="false"/>
          <w:bCs w:val="false"/>
          <w:i w:val="false"/>
          <w:iCs w:val="false"/>
          <w:sz w:val="21"/>
          <w:szCs w:val="21"/>
        </w:rPr>
        <w:t xml:space="preserve">Use only a tool listed in Schedule 1, through the practice account. Never a personal or free account.</w:t>
      </w:r>
    </w:p>
    <w:p>
      <w:pPr>
        <w:spacing w:after="160" w:line="264"/>
        <w:ind w:left="680"/>
        <w:jc w:val="both"/>
      </w:pPr>
      <w:r>
        <w:rPr>
          <w:rFonts w:ascii="Calibri" w:cs="Calibri" w:eastAsia="Calibri" w:hAnsi="Calibri"/>
          <w:b w:val="false"/>
          <w:bCs w:val="false"/>
          <w:i w:val="false"/>
          <w:iCs w:val="false"/>
          <w:sz w:val="21"/>
          <w:szCs w:val="21"/>
        </w:rPr>
        <w:t xml:space="preserve">Never write the words of an affidavit, a witness statement or a character reference with a tool, and never use one to reword a witness's evidence. It must be the witness's own words.</w:t>
      </w:r>
    </w:p>
    <w:p>
      <w:pPr>
        <w:spacing w:after="160" w:line="264"/>
        <w:ind w:left="680"/>
        <w:jc w:val="both"/>
      </w:pPr>
      <w:r>
        <w:rPr>
          <w:rFonts w:ascii="Calibri" w:cs="Calibri" w:eastAsia="Calibri" w:hAnsi="Calibri"/>
          <w:b w:val="false"/>
          <w:bCs w:val="false"/>
          <w:i w:val="false"/>
          <w:iCs w:val="false"/>
          <w:sz w:val="21"/>
          <w:szCs w:val="21"/>
        </w:rPr>
        <w:t xml:space="preserve">Before anything is filed or sent, open the judgment or the section and read it yourself. Asking the tool to confirm its own citation is not verification, and neither is asking a second tool.</w:t>
      </w:r>
    </w:p>
    <w:p>
      <w:pPr>
        <w:spacing w:after="160" w:line="264"/>
        <w:ind w:left="680"/>
        <w:jc w:val="both"/>
      </w:pPr>
      <w:r>
        <w:rPr>
          <w:rFonts w:ascii="Calibri" w:cs="Calibri" w:eastAsia="Calibri" w:hAnsi="Calibri"/>
          <w:b w:val="false"/>
          <w:bCs w:val="false"/>
          <w:i w:val="false"/>
          <w:iCs w:val="false"/>
          <w:sz w:val="21"/>
          <w:szCs w:val="21"/>
        </w:rPr>
        <w:t xml:space="preserve">Be able to point to the parts of the document a tool helped produce, and to say who verified them and how. You may be asked.</w:t>
      </w:r>
    </w:p>
    <w:p>
      <w:pPr>
        <w:spacing w:after="160" w:line="264"/>
        <w:ind w:left="680"/>
        <w:jc w:val="both"/>
      </w:pPr>
      <w:r>
        <w:rPr>
          <w:rFonts w:ascii="Calibri" w:cs="Calibri" w:eastAsia="Calibri" w:hAnsi="Calibri"/>
          <w:b w:val="false"/>
          <w:bCs w:val="false"/>
          <w:i w:val="false"/>
          <w:iCs w:val="false"/>
          <w:sz w:val="21"/>
          <w:szCs w:val="21"/>
        </w:rPr>
        <w:t xml:space="preserve">Subpoenaed material, discovery from the other side, anything under a suppression order, and anything about children: stop and get an approval under clause 8 first.</w:t>
      </w:r>
    </w:p>
    <w:p>
      <w:pPr>
        <w:spacing w:after="160" w:line="264"/>
        <w:ind w:left="680"/>
        <w:jc w:val="both"/>
      </w:pPr>
      <w:r>
        <w:rPr>
          <w:rFonts w:ascii="Calibri" w:cs="Calibri" w:eastAsia="Calibri" w:hAnsi="Calibri"/>
          <w:b w:val="false"/>
          <w:bCs w:val="false"/>
          <w:i w:val="false"/>
          <w:iCs w:val="false"/>
          <w:sz w:val="21"/>
          <w:szCs w:val="21"/>
        </w:rPr>
        <w:t xml:space="preserve">Check the client's own terms. Some clients prohibit this entirely, and some require onshore hosting.</w:t>
      </w:r>
    </w:p>
    <w:p>
      <w:pPr>
        <w:spacing w:after="160" w:line="264"/>
        <w:ind w:left="680"/>
        <w:jc w:val="both"/>
      </w:pPr>
      <w:r>
        <w:rPr>
          <w:rFonts w:ascii="Calibri" w:cs="Calibri" w:eastAsia="Calibri" w:hAnsi="Calibri"/>
          <w:b w:val="false"/>
          <w:bCs w:val="false"/>
          <w:i w:val="false"/>
          <w:iCs w:val="false"/>
          <w:sz w:val="21"/>
          <w:szCs w:val="21"/>
        </w:rPr>
        <w:t xml:space="preserve">Affidavits need the disclosure that AI was not used, whether or not it was.</w:t>
      </w:r>
    </w:p>
    <w:p>
      <w:pPr>
        <w:spacing w:after="160" w:line="264"/>
        <w:ind w:left="680"/>
        <w:jc w:val="both"/>
      </w:pPr>
      <w:r>
        <w:rPr>
          <w:rFonts w:ascii="Calibri" w:cs="Calibri" w:eastAsia="Calibri" w:hAnsi="Calibri"/>
          <w:b w:val="false"/>
          <w:bCs w:val="false"/>
          <w:i w:val="false"/>
          <w:iCs w:val="false"/>
          <w:sz w:val="21"/>
          <w:szCs w:val="21"/>
        </w:rPr>
        <w:t xml:space="preserve">Bill the time you spent, not the time the task used to take.</w:t>
      </w:r>
    </w:p>
    <w:p>
      <w:pPr>
        <w:spacing w:after="160" w:line="264"/>
        <w:ind w:left="680"/>
        <w:jc w:val="both"/>
      </w:pPr>
      <w:r>
        <w:rPr>
          <w:rFonts w:ascii="Calibri" w:cs="Calibri" w:eastAsia="Calibri" w:hAnsi="Calibri"/>
          <w:b w:val="false"/>
          <w:bCs w:val="false"/>
          <w:i w:val="false"/>
          <w:iCs w:val="false"/>
          <w:sz w:val="21"/>
          <w:szCs w:val="21"/>
        </w:rPr>
        <w:t xml:space="preserve">Tell your supervisor when you have used a tool on a document.</w:t>
      </w:r>
    </w:p>
    <w:p>
      <w:pPr>
        <w:spacing w:after="160" w:line="264"/>
        <w:ind w:left="680"/>
        <w:jc w:val="both"/>
      </w:pPr>
      <w:r>
        <w:rPr>
          <w:rFonts w:ascii="Calibri" w:cs="Calibri" w:eastAsia="Calibri" w:hAnsi="Calibri"/>
          <w:b w:val="false"/>
          <w:bCs w:val="false"/>
          <w:i w:val="false"/>
          <w:iCs w:val="false"/>
          <w:sz w:val="21"/>
          <w:szCs w:val="21"/>
        </w:rPr>
        <w:t xml:space="preserve">If something has gone wrong, tell the AI Officer today. Reporting is not the disciplinary problem. Not reporting is.</w:t>
      </w:r>
    </w:p>
    <w:p>
      <w:r>
        <w:br w:type="page"/>
      </w:r>
    </w:p>
    <w:p>
      <w:pPr>
        <w:pStyle w:val="Heading1"/>
        <w:spacing w:after="140" w:before="320"/>
      </w:pPr>
      <w:r>
        <w:rPr>
          <w:rFonts w:ascii="Calibri" w:cs="Calibri" w:eastAsia="Calibri" w:hAnsi="Calibri"/>
          <w:b/>
          <w:bCs/>
          <w:i w:val="false"/>
          <w:iCs w:val="false"/>
          <w:sz w:val="25"/>
          <w:szCs w:val="25"/>
        </w:rPr>
        <w:t xml:space="preserve">Schedule 9  Acknowledgment</w:t>
      </w:r>
    </w:p>
    <w:p>
      <w:pPr>
        <w:spacing w:after="160" w:line="264"/>
        <w:ind w:left="680"/>
        <w:jc w:val="both"/>
      </w:pPr>
      <w:r>
        <w:rPr>
          <w:rFonts w:ascii="Calibri" w:cs="Calibri" w:eastAsia="Calibri" w:hAnsi="Calibri"/>
          <w:b w:val="false"/>
          <w:bCs w:val="false"/>
          <w:i w:val="false"/>
          <w:iCs w:val="false"/>
          <w:sz w:val="21"/>
          <w:szCs w:val="21"/>
        </w:rPr>
        <w:t xml:space="preserve">I have read the Policy on the Use of Artificial Intelligence in Legal Practice. I understand it, I understand that it applies to my use of artificial intelligence whether on a practice device or my own, and I agree to comply with it. I understand that I must report a suspected breach to the AI Officer on the day I become aware of it.</w:t>
      </w:r>
    </w:p>
    <w:p>
      <w:pPr>
        <w:spacing w:after="360"/>
      </w:pPr>
      <w:r>
        <w:rPr>
          <w:rFonts w:ascii="Calibri" w:cs="Calibri" w:eastAsia="Calibri" w:hAnsi="Calibri"/>
          <w:b w:val="false"/>
          <w:bCs w:val="false"/>
          <w:i w:val="false"/>
          <w:iCs w:val="false"/>
          <w:sz w:val="21"/>
          <w:szCs w:val="21"/>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Name</w:t>
            </w:r>
          </w:p>
        </w:tc>
        <w:tc>
          <w:tcPr>
            <w:tcW w:type="dxa" w:w="6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Position</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Signature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6"/>
      </w:pBdr>
      <w:jc w:val="right"/>
    </w:pPr>
    <w:r>
      <w:rPr>
        <w:rFonts w:ascii="Calibri" w:cs="Calibri" w:eastAsia="Calibri" w:hAnsi="Calibri"/>
        <w:color w:val="595959"/>
        <w:sz w:val="17"/>
        <w:szCs w:val="17"/>
      </w:rPr>
      <w:t xml:space="preserve">Policy on the Use of Artificial Intelligence in Legal Practice   |   Version 2.0   |   Page </w:t>
    </w:r>
    <w:r>
      <w:rPr>
        <w:rFonts w:ascii="Calibri" w:cs="Calibri" w:eastAsia="Calibri" w:hAnsi="Calibri"/>
        <w:color w:val="595959"/>
        <w:sz w:val="17"/>
        <w:szCs w:val="17"/>
      </w:rPr>
      <w:fldChar w:fldCharType="begin"/>
      <w:instrText xml:space="preserve">PAGE</w:instrText>
      <w:fldChar w:fldCharType="separate"/>
      <w:fldChar w:fldCharType="end"/>
    </w:r>
    <w:r>
      <w:rPr>
        <w:rFonts w:ascii="Calibri" w:cs="Calibri" w:eastAsia="Calibri" w:hAnsi="Calibri"/>
        <w:color w:val="595959"/>
        <w:sz w:val="17"/>
        <w:szCs w:val="17"/>
      </w:rPr>
      <w:t xml:space="preserve"> of </w:t>
    </w:r>
    <w:r>
      <w:rPr>
        <w:rFonts w:ascii="Calibri" w:cs="Calibri" w:eastAsia="Calibri" w:hAnsi="Calibri"/>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2026-07-29T03:09:19.986Z</dcterms:created>
  <dcterms:modified xsi:type="dcterms:W3CDTF">2026-07-29T03:09:19.999Z</dcterms:modified>
</cp:coreProperties>
</file>

<file path=docProps/custom.xml><?xml version="1.0" encoding="utf-8"?>
<Properties xmlns="http://schemas.openxmlformats.org/officeDocument/2006/custom-properties" xmlns:vt="http://schemas.openxmlformats.org/officeDocument/2006/docPropsVTypes"/>
</file>