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i w:val="false"/>
          <w:iCs w:val="false"/>
          <w:color w:val="000000"/>
          <w:sz w:val="28"/>
          <w:szCs w:val="28"/>
        </w:rPr>
        <w:t xml:space="preserve">Protocol on the Use of Artificial Intelligence in Barristers' Practice</w:t>
      </w:r>
    </w:p>
    <w:p>
      <w:pPr>
        <w:pBdr>
          <w:bottom w:val="single" w:color="404040" w:sz="12" w:space="8"/>
        </w:pBdr>
        <w:spacing w:after="260"/>
      </w:pPr>
      <w:r>
        <w:rPr>
          <w:rFonts w:ascii="Calibri" w:cs="Calibri" w:eastAsia="Calibri" w:hAnsi="Calibri"/>
          <w:b w:val="false"/>
          <w:bCs w:val="false"/>
          <w:i w:val="false"/>
          <w:iCs w:val="false"/>
          <w:color w:val="595959"/>
          <w:sz w:val="21"/>
          <w:szCs w:val="21"/>
        </w:rPr>
        <w:t xml:space="preserve">A template for barristers and chambers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000"/>
        <w:gridCol w:w="3300"/>
        <w:gridCol w:w="1300"/>
        <w:gridCol w:w="2200"/>
      </w:tblGrid>
      <w:tr>
        <w:trPr>
          <w:tblHeader/>
        </w:trPr>
        <w:tc>
          <w:tcPr>
            <w:tcW w:type="dxa" w:w="20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Field</w:t>
            </w:r>
          </w:p>
        </w:tc>
        <w:tc>
          <w:tcPr>
            <w:tcW w:type="dxa" w:w="33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Detail</w:t>
            </w:r>
          </w:p>
        </w:tc>
        <w:tc>
          <w:tcPr>
            <w:tcW w:type="dxa" w:w="13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Version</w:t>
            </w:r>
          </w:p>
        </w:tc>
        <w:tc>
          <w:tcPr>
            <w:tcW w:type="dxa" w:w="22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History</w:t>
            </w:r>
          </w:p>
        </w:tc>
      </w:tr>
      <w:tr>
        <w:trPr>
          <w:tblHeader w:val="false"/>
        </w:trPr>
        <w:tc>
          <w:tcPr>
            <w:tcW w:type="dxa" w:w="20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Adopted by</w:t>
            </w:r>
          </w:p>
        </w:tc>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[Barrister]</w:t>
            </w:r>
          </w:p>
        </w:tc>
        <w:tc>
          <w:tcPr>
            <w:tcW w:type="dxa" w:w="1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1.0</w:t>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[Date] Adopted</w:t>
            </w:r>
          </w:p>
        </w:tc>
      </w:tr>
      <w:tr>
        <w:trPr>
          <w:tblHeader w:val="false"/>
        </w:trPr>
        <w:tc>
          <w:tcPr>
            <w:tcW w:type="dxa" w:w="20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Chambers</w:t>
            </w:r>
          </w:p>
        </w:tc>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[Chambers or floor]</w:t>
            </w:r>
          </w:p>
        </w:tc>
        <w:tc>
          <w:tcPr>
            <w:tcW w:type="dxa" w:w="1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0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Effective from</w:t>
            </w:r>
          </w:p>
        </w:tc>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[Date]</w:t>
            </w:r>
          </w:p>
        </w:tc>
        <w:tc>
          <w:tcPr>
            <w:tcW w:type="dxa" w:w="1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0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Next review</w:t>
            </w:r>
          </w:p>
        </w:tc>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[Date, not later than 12 months]</w:t>
            </w:r>
          </w:p>
        </w:tc>
        <w:tc>
          <w:tcPr>
            <w:tcW w:type="dxa" w:w="1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0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Applies to</w:t>
            </w:r>
          </w:p>
        </w:tc>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The barrister, and any reader, devilling barrister, clerk or member of staff with access to a brief</w:t>
            </w:r>
          </w:p>
        </w:tc>
        <w:tc>
          <w:tcPr>
            <w:tcW w:type="dxa" w:w="1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bl>
    <w:p>
      <w:pPr>
        <w:spacing w:after="240"/>
      </w:pPr>
      <w:r>
        <w:rPr>
          <w:rFonts w:ascii="Calibri" w:cs="Calibri" w:eastAsia="Calibri" w:hAnsi="Calibri"/>
          <w:b w:val="false"/>
          <w:bCs w:val="false"/>
          <w:i w:val="false"/>
          <w:iCs w:val="false"/>
          <w:sz w:val="21"/>
          <w:szCs w:val="21"/>
        </w:rPr>
        <w:t xml:space="preserve"/>
      </w:r>
    </w:p>
    <w:p>
      <w:pPr>
        <w:spacing w:after="200" w:line="240"/>
        <w:ind w:left="340" w:right="340"/>
        <w:jc w:val="both"/>
      </w:pPr>
      <w:r>
        <w:rPr>
          <w:rFonts w:ascii="Calibri" w:cs="Calibri" w:eastAsia="Calibri" w:hAnsi="Calibri"/>
          <w:b w:val="false"/>
          <w:bCs w:val="false"/>
          <w:i/>
          <w:iCs/>
          <w:color w:val="595959"/>
          <w:sz w:val="19"/>
          <w:szCs w:val="19"/>
        </w:rPr>
        <w:t xml:space="preserve">This is a template. Fields in square brackets must be completed before adoption. It is drafted for adoption by an individual barrister, with a chambers annex at Schedule 9 for arrangements that can only be made at floor level. Because a barrister must be a sole practitioner, chambers cannot adopt this protocol on a barrister's behalf and cannot assume any obligation this protocol addresses. Schedule 5 must be completed with the instruments in force in each jurisdiction in which the barrister appears.</w:t>
      </w:r>
    </w:p>
    <w:p>
      <w:pPr>
        <w:spacing w:after="140" w:before="200"/>
      </w:pPr>
      <w:r>
        <w:rPr>
          <w:rFonts w:ascii="Calibri" w:cs="Calibri" w:eastAsia="Calibri" w:hAnsi="Calibri"/>
          <w:b/>
          <w:bCs/>
          <w:i w:val="false"/>
          <w:iCs w:val="false"/>
          <w:color w:val="000000"/>
          <w:sz w:val="24"/>
          <w:szCs w:val="24"/>
        </w:rPr>
        <w:t xml:space="preserve">Contents</w:t>
      </w:r>
    </w:p>
    <w:p>
      <w:pPr>
        <w:spacing w:after="40"/>
        <w:ind w:left="340"/>
      </w:pPr>
      <w:r>
        <w:rPr>
          <w:rFonts w:ascii="Calibri" w:cs="Calibri" w:eastAsia="Calibri" w:hAnsi="Calibri"/>
          <w:b w:val="false"/>
          <w:bCs w:val="false"/>
          <w:i w:val="false"/>
          <w:iCs w:val="false"/>
          <w:sz w:val="20"/>
          <w:szCs w:val="20"/>
        </w:rPr>
        <w:t xml:space="preserve">1  Purpose and status</w:t>
      </w:r>
    </w:p>
    <w:p>
      <w:pPr>
        <w:spacing w:after="40"/>
        <w:ind w:left="340"/>
      </w:pPr>
      <w:r>
        <w:rPr>
          <w:rFonts w:ascii="Calibri" w:cs="Calibri" w:eastAsia="Calibri" w:hAnsi="Calibri"/>
          <w:b w:val="false"/>
          <w:bCs w:val="false"/>
          <w:i w:val="false"/>
          <w:iCs w:val="false"/>
          <w:sz w:val="20"/>
          <w:szCs w:val="20"/>
        </w:rPr>
        <w:t xml:space="preserve">2  Application</w:t>
      </w:r>
    </w:p>
    <w:p>
      <w:pPr>
        <w:spacing w:after="40"/>
        <w:ind w:left="340"/>
      </w:pPr>
      <w:r>
        <w:rPr>
          <w:rFonts w:ascii="Calibri" w:cs="Calibri" w:eastAsia="Calibri" w:hAnsi="Calibri"/>
          <w:b w:val="false"/>
          <w:bCs w:val="false"/>
          <w:i w:val="false"/>
          <w:iCs w:val="false"/>
          <w:sz w:val="20"/>
          <w:szCs w:val="20"/>
        </w:rPr>
        <w:t xml:space="preserve">3  Definitions</w:t>
      </w:r>
    </w:p>
    <w:p>
      <w:pPr>
        <w:spacing w:after="40"/>
        <w:ind w:left="340"/>
      </w:pPr>
      <w:r>
        <w:rPr>
          <w:rFonts w:ascii="Calibri" w:cs="Calibri" w:eastAsia="Calibri" w:hAnsi="Calibri"/>
          <w:b w:val="false"/>
          <w:bCs w:val="false"/>
          <w:i w:val="false"/>
          <w:iCs w:val="false"/>
          <w:sz w:val="20"/>
          <w:szCs w:val="20"/>
        </w:rPr>
        <w:t xml:space="preserve">4  The obligations this protocol serves</w:t>
      </w:r>
    </w:p>
    <w:p>
      <w:pPr>
        <w:spacing w:after="40"/>
        <w:ind w:left="340"/>
      </w:pPr>
      <w:r>
        <w:rPr>
          <w:rFonts w:ascii="Calibri" w:cs="Calibri" w:eastAsia="Calibri" w:hAnsi="Calibri"/>
          <w:b w:val="false"/>
          <w:bCs w:val="false"/>
          <w:i w:val="false"/>
          <w:iCs w:val="false"/>
          <w:sz w:val="20"/>
          <w:szCs w:val="20"/>
        </w:rPr>
        <w:t xml:space="preserve">5  Releasing work under your name</w:t>
      </w:r>
    </w:p>
    <w:p>
      <w:pPr>
        <w:spacing w:after="40"/>
        <w:ind w:left="340"/>
      </w:pPr>
      <w:r>
        <w:rPr>
          <w:rFonts w:ascii="Calibri" w:cs="Calibri" w:eastAsia="Calibri" w:hAnsi="Calibri"/>
          <w:b w:val="false"/>
          <w:bCs w:val="false"/>
          <w:i w:val="false"/>
          <w:iCs w:val="false"/>
          <w:sz w:val="20"/>
          <w:szCs w:val="20"/>
        </w:rPr>
        <w:t xml:space="preserve">6  Suitability</w:t>
      </w:r>
    </w:p>
    <w:p>
      <w:pPr>
        <w:spacing w:after="40"/>
        <w:ind w:left="340"/>
      </w:pPr>
      <w:r>
        <w:rPr>
          <w:rFonts w:ascii="Calibri" w:cs="Calibri" w:eastAsia="Calibri" w:hAnsi="Calibri"/>
          <w:b w:val="false"/>
          <w:bCs w:val="false"/>
          <w:i w:val="false"/>
          <w:iCs w:val="false"/>
          <w:sz w:val="20"/>
          <w:szCs w:val="20"/>
        </w:rPr>
        <w:t xml:space="preserve">7  Approved tools</w:t>
      </w:r>
    </w:p>
    <w:p>
      <w:pPr>
        <w:spacing w:after="40"/>
        <w:ind w:left="340"/>
      </w:pPr>
      <w:r>
        <w:rPr>
          <w:rFonts w:ascii="Calibri" w:cs="Calibri" w:eastAsia="Calibri" w:hAnsi="Calibri"/>
          <w:b w:val="false"/>
          <w:bCs w:val="false"/>
          <w:i w:val="false"/>
          <w:iCs w:val="false"/>
          <w:sz w:val="20"/>
          <w:szCs w:val="20"/>
        </w:rPr>
        <w:t xml:space="preserve">8  Prohibited uses</w:t>
      </w:r>
    </w:p>
    <w:p>
      <w:pPr>
        <w:spacing w:after="40"/>
        <w:ind w:left="340"/>
      </w:pPr>
      <w:r>
        <w:rPr>
          <w:rFonts w:ascii="Calibri" w:cs="Calibri" w:eastAsia="Calibri" w:hAnsi="Calibri"/>
          <w:b w:val="false"/>
          <w:bCs w:val="false"/>
          <w:i w:val="false"/>
          <w:iCs w:val="false"/>
          <w:sz w:val="20"/>
          <w:szCs w:val="20"/>
        </w:rPr>
        <w:t xml:space="preserve">9  Confidential information and consent</w:t>
      </w:r>
    </w:p>
    <w:p>
      <w:pPr>
        <w:spacing w:after="40"/>
        <w:ind w:left="340"/>
      </w:pPr>
      <w:r>
        <w:rPr>
          <w:rFonts w:ascii="Calibri" w:cs="Calibri" w:eastAsia="Calibri" w:hAnsi="Calibri"/>
          <w:b w:val="false"/>
          <w:bCs w:val="false"/>
          <w:i w:val="false"/>
          <w:iCs w:val="false"/>
          <w:sz w:val="20"/>
          <w:szCs w:val="20"/>
        </w:rPr>
        <w:t xml:space="preserve">10  Restricted information</w:t>
      </w:r>
    </w:p>
    <w:p>
      <w:pPr>
        <w:spacing w:after="40"/>
        <w:ind w:left="340"/>
      </w:pPr>
      <w:r>
        <w:rPr>
          <w:rFonts w:ascii="Calibri" w:cs="Calibri" w:eastAsia="Calibri" w:hAnsi="Calibri"/>
          <w:b w:val="false"/>
          <w:bCs w:val="false"/>
          <w:i w:val="false"/>
          <w:iCs w:val="false"/>
          <w:sz w:val="20"/>
          <w:szCs w:val="20"/>
        </w:rPr>
        <w:t xml:space="preserve">11  Verification</w:t>
      </w:r>
    </w:p>
    <w:p>
      <w:pPr>
        <w:spacing w:after="40"/>
        <w:ind w:left="340"/>
      </w:pPr>
      <w:r>
        <w:rPr>
          <w:rFonts w:ascii="Calibri" w:cs="Calibri" w:eastAsia="Calibri" w:hAnsi="Calibri"/>
          <w:b w:val="false"/>
          <w:bCs w:val="false"/>
          <w:i w:val="false"/>
          <w:iCs w:val="false"/>
          <w:sz w:val="20"/>
          <w:szCs w:val="20"/>
        </w:rPr>
        <w:t xml:space="preserve">12  Disclosure to courts and tribunals</w:t>
      </w:r>
    </w:p>
    <w:p>
      <w:pPr>
        <w:spacing w:after="40"/>
        <w:ind w:left="340"/>
      </w:pPr>
      <w:r>
        <w:rPr>
          <w:rFonts w:ascii="Calibri" w:cs="Calibri" w:eastAsia="Calibri" w:hAnsi="Calibri"/>
          <w:b w:val="false"/>
          <w:bCs w:val="false"/>
          <w:i w:val="false"/>
          <w:iCs w:val="false"/>
          <w:sz w:val="20"/>
          <w:szCs w:val="20"/>
        </w:rPr>
        <w:t xml:space="preserve">13  Bias, discrimination and offensive output</w:t>
      </w:r>
    </w:p>
    <w:p>
      <w:pPr>
        <w:spacing w:after="40"/>
        <w:ind w:left="340"/>
      </w:pPr>
      <w:r>
        <w:rPr>
          <w:rFonts w:ascii="Calibri" w:cs="Calibri" w:eastAsia="Calibri" w:hAnsi="Calibri"/>
          <w:b w:val="false"/>
          <w:bCs w:val="false"/>
          <w:i w:val="false"/>
          <w:iCs w:val="false"/>
          <w:sz w:val="20"/>
          <w:szCs w:val="20"/>
        </w:rPr>
        <w:t xml:space="preserve">14  Copyright and ownership</w:t>
      </w:r>
    </w:p>
    <w:p>
      <w:pPr>
        <w:spacing w:after="40"/>
        <w:ind w:left="340"/>
      </w:pPr>
      <w:r>
        <w:rPr>
          <w:rFonts w:ascii="Calibri" w:cs="Calibri" w:eastAsia="Calibri" w:hAnsi="Calibri"/>
          <w:b w:val="false"/>
          <w:bCs w:val="false"/>
          <w:i w:val="false"/>
          <w:iCs w:val="false"/>
          <w:sz w:val="20"/>
          <w:szCs w:val="20"/>
        </w:rPr>
        <w:t xml:space="preserve">15  Fees</w:t>
      </w:r>
    </w:p>
    <w:p>
      <w:pPr>
        <w:spacing w:after="40"/>
        <w:ind w:left="340"/>
      </w:pPr>
      <w:r>
        <w:rPr>
          <w:rFonts w:ascii="Calibri" w:cs="Calibri" w:eastAsia="Calibri" w:hAnsi="Calibri"/>
          <w:b w:val="false"/>
          <w:bCs w:val="false"/>
          <w:i w:val="false"/>
          <w:iCs w:val="false"/>
          <w:sz w:val="20"/>
          <w:szCs w:val="20"/>
        </w:rPr>
        <w:t xml:space="preserve">16  Recording, transcription and note-taking</w:t>
      </w:r>
    </w:p>
    <w:p>
      <w:pPr>
        <w:spacing w:after="40"/>
        <w:ind w:left="340"/>
      </w:pPr>
      <w:r>
        <w:rPr>
          <w:rFonts w:ascii="Calibri" w:cs="Calibri" w:eastAsia="Calibri" w:hAnsi="Calibri"/>
          <w:b w:val="false"/>
          <w:bCs w:val="false"/>
          <w:i w:val="false"/>
          <w:iCs w:val="false"/>
          <w:sz w:val="20"/>
          <w:szCs w:val="20"/>
        </w:rPr>
        <w:t xml:space="preserve">17  Records</w:t>
      </w:r>
    </w:p>
    <w:p>
      <w:pPr>
        <w:spacing w:after="40"/>
        <w:ind w:left="340"/>
      </w:pPr>
      <w:r>
        <w:rPr>
          <w:rFonts w:ascii="Calibri" w:cs="Calibri" w:eastAsia="Calibri" w:hAnsi="Calibri"/>
          <w:b w:val="false"/>
          <w:bCs w:val="false"/>
          <w:i w:val="false"/>
          <w:iCs w:val="false"/>
          <w:sz w:val="20"/>
          <w:szCs w:val="20"/>
        </w:rPr>
        <w:t xml:space="preserve">18  Readers, devils and staff</w:t>
      </w:r>
    </w:p>
    <w:p>
      <w:pPr>
        <w:spacing w:after="40"/>
        <w:ind w:left="340"/>
      </w:pPr>
      <w:r>
        <w:rPr>
          <w:rFonts w:ascii="Calibri" w:cs="Calibri" w:eastAsia="Calibri" w:hAnsi="Calibri"/>
          <w:b w:val="false"/>
          <w:bCs w:val="false"/>
          <w:i w:val="false"/>
          <w:iCs w:val="false"/>
          <w:sz w:val="20"/>
          <w:szCs w:val="20"/>
        </w:rPr>
        <w:t xml:space="preserve">19  Chambers arrangements</w:t>
      </w:r>
    </w:p>
    <w:p>
      <w:pPr>
        <w:spacing w:after="40"/>
        <w:ind w:left="340"/>
      </w:pPr>
      <w:r>
        <w:rPr>
          <w:rFonts w:ascii="Calibri" w:cs="Calibri" w:eastAsia="Calibri" w:hAnsi="Calibri"/>
          <w:b w:val="false"/>
          <w:bCs w:val="false"/>
          <w:i w:val="false"/>
          <w:iCs w:val="false"/>
          <w:sz w:val="20"/>
          <w:szCs w:val="20"/>
        </w:rPr>
        <w:t xml:space="preserve">20  Incidents</w:t>
      </w:r>
    </w:p>
    <w:p>
      <w:pPr>
        <w:spacing w:after="40"/>
        <w:ind w:left="340"/>
      </w:pPr>
      <w:r>
        <w:rPr>
          <w:rFonts w:ascii="Calibri" w:cs="Calibri" w:eastAsia="Calibri" w:hAnsi="Calibri"/>
          <w:b w:val="false"/>
          <w:bCs w:val="false"/>
          <w:i w:val="false"/>
          <w:iCs w:val="false"/>
          <w:sz w:val="20"/>
          <w:szCs w:val="20"/>
        </w:rPr>
        <w:t xml:space="preserve">21  Compliance and consequences</w:t>
      </w:r>
    </w:p>
    <w:p>
      <w:pPr>
        <w:spacing w:after="40"/>
        <w:ind w:left="340"/>
      </w:pPr>
      <w:r>
        <w:rPr>
          <w:rFonts w:ascii="Calibri" w:cs="Calibri" w:eastAsia="Calibri" w:hAnsi="Calibri"/>
          <w:b w:val="false"/>
          <w:bCs w:val="false"/>
          <w:i w:val="false"/>
          <w:iCs w:val="false"/>
          <w:sz w:val="20"/>
          <w:szCs w:val="20"/>
        </w:rPr>
        <w:t xml:space="preserve">22  Review</w:t>
      </w:r>
    </w:p>
    <w:p>
      <w:pPr>
        <w:spacing w:after="40"/>
        <w:ind w:left="340"/>
      </w:pPr>
      <w:r>
        <w:rPr>
          <w:rFonts w:ascii="Calibri" w:cs="Calibri" w:eastAsia="Calibri" w:hAnsi="Calibri"/>
          <w:b w:val="false"/>
          <w:bCs w:val="false"/>
          <w:i w:val="false"/>
          <w:iCs w:val="false"/>
          <w:sz w:val="20"/>
          <w:szCs w:val="20"/>
        </w:rPr>
        <w:t xml:space="preserve">Schedule 1  Register of tools</w:t>
      </w:r>
    </w:p>
    <w:p>
      <w:pPr>
        <w:spacing w:after="40"/>
        <w:ind w:left="340"/>
      </w:pPr>
      <w:r>
        <w:rPr>
          <w:rFonts w:ascii="Calibri" w:cs="Calibri" w:eastAsia="Calibri" w:hAnsi="Calibri"/>
          <w:b w:val="false"/>
          <w:bCs w:val="false"/>
          <w:i w:val="false"/>
          <w:iCs w:val="false"/>
          <w:sz w:val="20"/>
          <w:szCs w:val="20"/>
        </w:rPr>
        <w:t xml:space="preserve">Schedule 2  AI use record</w:t>
      </w:r>
    </w:p>
    <w:p>
      <w:pPr>
        <w:spacing w:after="40"/>
        <w:ind w:left="340"/>
      </w:pPr>
      <w:r>
        <w:rPr>
          <w:rFonts w:ascii="Calibri" w:cs="Calibri" w:eastAsia="Calibri" w:hAnsi="Calibri"/>
          <w:b w:val="false"/>
          <w:bCs w:val="false"/>
          <w:i w:val="false"/>
          <w:iCs w:val="false"/>
          <w:sz w:val="20"/>
          <w:szCs w:val="20"/>
        </w:rPr>
        <w:t xml:space="preserve">Schedule 3  Standard wordings</w:t>
      </w:r>
    </w:p>
    <w:p>
      <w:pPr>
        <w:spacing w:after="40"/>
        <w:ind w:left="340"/>
      </w:pPr>
      <w:r>
        <w:rPr>
          <w:rFonts w:ascii="Calibri" w:cs="Calibri" w:eastAsia="Calibri" w:hAnsi="Calibri"/>
          <w:b w:val="false"/>
          <w:bCs w:val="false"/>
          <w:i w:val="false"/>
          <w:iCs w:val="false"/>
          <w:sz w:val="20"/>
          <w:szCs w:val="20"/>
        </w:rPr>
        <w:t xml:space="preserve">Schedule 4  Restricted information approval</w:t>
      </w:r>
    </w:p>
    <w:p>
      <w:pPr>
        <w:spacing w:after="40"/>
        <w:ind w:left="340"/>
      </w:pPr>
      <w:r>
        <w:rPr>
          <w:rFonts w:ascii="Calibri" w:cs="Calibri" w:eastAsia="Calibri" w:hAnsi="Calibri"/>
          <w:b w:val="false"/>
          <w:bCs w:val="false"/>
          <w:i w:val="false"/>
          <w:iCs w:val="false"/>
          <w:sz w:val="20"/>
          <w:szCs w:val="20"/>
        </w:rPr>
        <w:t xml:space="preserve">Schedule 5  Instruments and guidance</w:t>
      </w:r>
    </w:p>
    <w:p>
      <w:pPr>
        <w:spacing w:after="40"/>
        <w:ind w:left="340"/>
      </w:pPr>
      <w:r>
        <w:rPr>
          <w:rFonts w:ascii="Calibri" w:cs="Calibri" w:eastAsia="Calibri" w:hAnsi="Calibri"/>
          <w:b w:val="false"/>
          <w:bCs w:val="false"/>
          <w:i w:val="false"/>
          <w:iCs w:val="false"/>
          <w:sz w:val="20"/>
          <w:szCs w:val="20"/>
        </w:rPr>
        <w:t xml:space="preserve">Schedule 6  Suitability path</w:t>
      </w:r>
    </w:p>
    <w:p>
      <w:pPr>
        <w:spacing w:after="40"/>
        <w:ind w:left="340"/>
      </w:pPr>
      <w:r>
        <w:rPr>
          <w:rFonts w:ascii="Calibri" w:cs="Calibri" w:eastAsia="Calibri" w:hAnsi="Calibri"/>
          <w:b w:val="false"/>
          <w:bCs w:val="false"/>
          <w:i w:val="false"/>
          <w:iCs w:val="false"/>
          <w:sz w:val="20"/>
          <w:szCs w:val="20"/>
        </w:rPr>
        <w:t xml:space="preserve">Schedule 7  Indicators of unverified use</w:t>
      </w:r>
    </w:p>
    <w:p>
      <w:pPr>
        <w:spacing w:after="40"/>
        <w:ind w:left="340"/>
      </w:pPr>
      <w:r>
        <w:rPr>
          <w:rFonts w:ascii="Calibri" w:cs="Calibri" w:eastAsia="Calibri" w:hAnsi="Calibri"/>
          <w:b w:val="false"/>
          <w:bCs w:val="false"/>
          <w:i w:val="false"/>
          <w:iCs w:val="false"/>
          <w:sz w:val="20"/>
          <w:szCs w:val="20"/>
        </w:rPr>
        <w:t xml:space="preserve">Schedule 8  Application settings</w:t>
      </w:r>
    </w:p>
    <w:p>
      <w:pPr>
        <w:spacing w:after="40"/>
        <w:ind w:left="340"/>
      </w:pPr>
      <w:r>
        <w:rPr>
          <w:rFonts w:ascii="Calibri" w:cs="Calibri" w:eastAsia="Calibri" w:hAnsi="Calibri"/>
          <w:b w:val="false"/>
          <w:bCs w:val="false"/>
          <w:i w:val="false"/>
          <w:iCs w:val="false"/>
          <w:sz w:val="20"/>
          <w:szCs w:val="20"/>
        </w:rPr>
        <w:t xml:space="preserve">Schedule 9  Chambers annex</w:t>
      </w:r>
    </w:p>
    <w:p>
      <w:pPr>
        <w:spacing w:after="40"/>
        <w:ind w:left="340"/>
      </w:pPr>
      <w:r>
        <w:rPr>
          <w:rFonts w:ascii="Calibri" w:cs="Calibri" w:eastAsia="Calibri" w:hAnsi="Calibri"/>
          <w:b w:val="false"/>
          <w:bCs w:val="false"/>
          <w:i w:val="false"/>
          <w:iCs w:val="false"/>
          <w:sz w:val="20"/>
          <w:szCs w:val="20"/>
        </w:rPr>
        <w:t xml:space="preserve">Schedule 10  Quick reference</w:t>
      </w:r>
    </w:p>
    <w:p>
      <w:pPr>
        <w:spacing w:after="40"/>
        <w:ind w:left="340"/>
      </w:pPr>
      <w:r>
        <w:rPr>
          <w:rFonts w:ascii="Calibri" w:cs="Calibri" w:eastAsia="Calibri" w:hAnsi="Calibri"/>
          <w:b w:val="false"/>
          <w:bCs w:val="false"/>
          <w:i w:val="false"/>
          <w:iCs w:val="false"/>
          <w:sz w:val="20"/>
          <w:szCs w:val="20"/>
        </w:rPr>
        <w:t xml:space="preserve">Schedule 11  Acknowledgment</w:t>
      </w:r>
    </w:p>
    <w:p>
      <w:r>
        <w:br w:type="page"/>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1  Purpose and status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This protocol states the conditions on which [Barrister or Chambers] uses artificial intelligence in practice. It is directed at four risks: the use or disclosure of confidential information contrary to rule 114 of the Legal Profession Uniform Conduct (Barristers) Rules 2015, the presentation of inaccurate material to a court, the erosion of the independent forensic judgment the Rules require, and the loss of any record of what was done.</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barrister must be a sole practitioner. There is no practice entity to hold these obligations, no principal to supervise their discharge, and no equivalent of the supervision rule that applies to a solicitor's practice. Each barrister is personally accountable for every use of a tool in their practice and for all work released under their name, including work done for them by a reader or by another barrister devilling under rule 113.</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Artificial intelligence is not a substitute for the exercise of professional judgment in matters of law, and it cannot be used in ignorance of the Rules. A client is entitled to expect that work done on a brief is the barrister's own work and reflects the application of the barrister's own skill, knowledge, experience and judgment. If a tool is used, its use must supplement and must not substitute for those things.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New South Wales Bar Association has published guidance on the issues arising from the use of AI language models in legal practice. That guidance records that it may be considered by Bar Council in relation to any complaint about a barrister's use of such tools, and that conduct contrary to the Rules may give rise to a complaint or disciplinary action. This protocol is drafted to that guidance and to the equivalent guidance of the Bar Association of the jurisdiction in which the barrister practises, as recorded in Schedule 5.</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1.5</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Nothing in this protocol encourages or approves the use of any tool. It states the obligations that must be considered before use, and that must not be breached in the event of use.</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2  Application</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2.1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This protocol applies to the barrister who adopts it, and to every reader, devilling barrister, clerk, secretary, research assistant, contractor and other person who does work for that barrister or has access to that barrister's briefs.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2.2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It applies to all use connected with practice, whether on a chambers device or a personal device, whether in chambers or elsewhere, and whether the work is the subject of a fee.</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2.3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reader shown a brief, and a barrister doing work under a devilling arrangement, is bound by the same duties of confidentiality as the barrister whose brief it is, including the duties imposed by rules 114 and 115. Each must comply with this protocol in relation to that brief, and the briefed barrister remains personally responsible for the work.</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2.4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Where the barrister is instructed by a solicitor, the requirements of this protocol that concern consent and disclosure are ordinarily discharged through the instructing solicitor. Where the barrister accepts instructions directly, they are discharged with the client.</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2.5</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Personal use of an unapproved tool for matters unconnected with practice is not governed by this protocol, provided no information obtained in the course of practice is entered into it and no output is used in practice without the assessment required by clause 7.</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3  Definitions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3.1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In this protocol the following definitions apply. They follow the definitions used by the courts, so that this protocol and the instruments at Schedule 5 speak the same language.</w:t>
      </w:r>
    </w:p>
    <w:p>
      <w:pPr>
        <w:spacing w:after="140" w:line="240"/>
        <w:ind w:left="680"/>
        <w:jc w:val="both"/>
      </w:pPr>
      <w:r>
        <w:rPr>
          <w:rFonts w:ascii="Calibri" w:cs="Calibri" w:eastAsia="Calibri" w:hAnsi="Calibri"/>
          <w:b/>
          <w:bCs/>
          <w:i w:val="false"/>
          <w:iCs w:val="false"/>
          <w:sz w:val="21"/>
          <w:szCs w:val="21"/>
        </w:rPr>
        <w:t xml:space="preserve">AI </w:t>
      </w:r>
      <w:r>
        <w:rPr>
          <w:rFonts w:ascii="Calibri" w:cs="Calibri" w:eastAsia="Calibri" w:hAnsi="Calibri"/>
          <w:b w:val="false"/>
          <w:bCs w:val="false"/>
          <w:i w:val="false"/>
          <w:iCs w:val="false"/>
          <w:sz w:val="21"/>
          <w:szCs w:val="21"/>
        </w:rPr>
        <w:t xml:space="preserve">means a machine-based system that, for explicit or implicit objectives, infers from the input it receives how to generate outputs such as predictions, content, recommendations or decisions. It is an umbrella term that includes generative AI, public AI and closed AI.</w:t>
      </w:r>
    </w:p>
    <w:p>
      <w:pPr>
        <w:spacing w:after="140" w:line="240"/>
        <w:ind w:left="680"/>
        <w:jc w:val="both"/>
      </w:pPr>
      <w:r>
        <w:rPr>
          <w:rFonts w:ascii="Calibri" w:cs="Calibri" w:eastAsia="Calibri" w:hAnsi="Calibri"/>
          <w:b/>
          <w:bCs/>
          <w:i w:val="false"/>
          <w:iCs w:val="false"/>
          <w:sz w:val="21"/>
          <w:szCs w:val="21"/>
        </w:rPr>
        <w:t xml:space="preserve">generative AI </w:t>
      </w:r>
      <w:r>
        <w:rPr>
          <w:rFonts w:ascii="Calibri" w:cs="Calibri" w:eastAsia="Calibri" w:hAnsi="Calibri"/>
          <w:b w:val="false"/>
          <w:bCs w:val="false"/>
          <w:i w:val="false"/>
          <w:iCs w:val="false"/>
          <w:sz w:val="21"/>
          <w:szCs w:val="21"/>
        </w:rPr>
        <w:t xml:space="preserve">means a system that generates content as text, images, music, audio, video, code or structured data based on a user's prompts.</w:t>
      </w:r>
    </w:p>
    <w:p>
      <w:pPr>
        <w:spacing w:after="140" w:line="240"/>
        <w:ind w:left="680"/>
        <w:jc w:val="both"/>
      </w:pPr>
      <w:r>
        <w:rPr>
          <w:rFonts w:ascii="Calibri" w:cs="Calibri" w:eastAsia="Calibri" w:hAnsi="Calibri"/>
          <w:b/>
          <w:bCs/>
          <w:i w:val="false"/>
          <w:iCs w:val="false"/>
          <w:sz w:val="21"/>
          <w:szCs w:val="21"/>
        </w:rPr>
        <w:t xml:space="preserve">public AI </w:t>
      </w:r>
      <w:r>
        <w:rPr>
          <w:rFonts w:ascii="Calibri" w:cs="Calibri" w:eastAsia="Calibri" w:hAnsi="Calibri"/>
          <w:b w:val="false"/>
          <w:bCs w:val="false"/>
          <w:i w:val="false"/>
          <w:iCs w:val="false"/>
          <w:sz w:val="21"/>
          <w:szCs w:val="21"/>
        </w:rPr>
        <w:t xml:space="preserve">means a tool openly accessible to the public, typically over the internet, trained on broad and often public datasets for general purpose use. It includes free and personal-subscription accounts of otherwise commercial products, tools embedded in consumer software, and any tool whose terms permit the supplier to use inputs to train a model.</w:t>
      </w:r>
    </w:p>
    <w:p>
      <w:pPr>
        <w:spacing w:after="140" w:line="240"/>
        <w:ind w:left="680"/>
        <w:jc w:val="both"/>
      </w:pPr>
      <w:r>
        <w:rPr>
          <w:rFonts w:ascii="Calibri" w:cs="Calibri" w:eastAsia="Calibri" w:hAnsi="Calibri"/>
          <w:b/>
          <w:bCs/>
          <w:i w:val="false"/>
          <w:iCs w:val="false"/>
          <w:sz w:val="21"/>
          <w:szCs w:val="21"/>
        </w:rPr>
        <w:t xml:space="preserve">closed AI </w:t>
      </w:r>
      <w:r>
        <w:rPr>
          <w:rFonts w:ascii="Calibri" w:cs="Calibri" w:eastAsia="Calibri" w:hAnsi="Calibri"/>
          <w:b w:val="false"/>
          <w:bCs w:val="false"/>
          <w:i w:val="false"/>
          <w:iCs w:val="false"/>
          <w:sz w:val="21"/>
          <w:szCs w:val="21"/>
        </w:rPr>
        <w:t xml:space="preserve">means a tool that is not openly accessible to the public, where information used in the tool remains within a controlled environment and there are controls or settings that protect information from being made publicly available or used to train the tool.</w:t>
      </w:r>
    </w:p>
    <w:p>
      <w:pPr>
        <w:spacing w:after="140" w:line="240"/>
        <w:ind w:left="680"/>
        <w:jc w:val="both"/>
      </w:pPr>
      <w:r>
        <w:rPr>
          <w:rFonts w:ascii="Calibri" w:cs="Calibri" w:eastAsia="Calibri" w:hAnsi="Calibri"/>
          <w:b/>
          <w:bCs/>
          <w:i w:val="false"/>
          <w:iCs w:val="false"/>
          <w:sz w:val="21"/>
          <w:szCs w:val="21"/>
        </w:rPr>
        <w:t xml:space="preserve">approved tool </w:t>
      </w:r>
      <w:r>
        <w:rPr>
          <w:rFonts w:ascii="Calibri" w:cs="Calibri" w:eastAsia="Calibri" w:hAnsi="Calibri"/>
          <w:b w:val="false"/>
          <w:bCs w:val="false"/>
          <w:i w:val="false"/>
          <w:iCs w:val="false"/>
          <w:sz w:val="21"/>
          <w:szCs w:val="21"/>
        </w:rPr>
        <w:t xml:space="preserve">means a closed AI tool recorded in the register at Schedule 1, used through the account recorded there, in the configuration recorded there, and for the purposes recorded there.</w:t>
      </w:r>
    </w:p>
    <w:p>
      <w:pPr>
        <w:spacing w:after="160" w:line="240"/>
        <w:ind w:left="680"/>
        <w:jc w:val="both"/>
      </w:pPr>
      <w:r>
        <w:rPr>
          <w:rFonts w:ascii="Calibri" w:cs="Calibri" w:eastAsia="Calibri" w:hAnsi="Calibri"/>
          <w:b w:val="false"/>
          <w:bCs w:val="false"/>
          <w:i w:val="false"/>
          <w:iCs w:val="false"/>
          <w:sz w:val="21"/>
          <w:szCs w:val="21"/>
        </w:rPr>
        <w:t xml:space="preserve">A tool does not become an approved tool because a supplier describes it as secure, private, ringfenced, enterprise or closed. That description is a claim to be tested under clause 7, not a conclusion.</w:t>
      </w:r>
    </w:p>
    <w:p>
      <w:pPr>
        <w:spacing w:after="140" w:line="240"/>
        <w:ind w:left="680"/>
        <w:jc w:val="both"/>
      </w:pPr>
      <w:r>
        <w:rPr>
          <w:rFonts w:ascii="Calibri" w:cs="Calibri" w:eastAsia="Calibri" w:hAnsi="Calibri"/>
          <w:b/>
          <w:bCs/>
          <w:i w:val="false"/>
          <w:iCs w:val="false"/>
          <w:sz w:val="21"/>
          <w:szCs w:val="21"/>
        </w:rPr>
        <w:t xml:space="preserve">confidential information </w:t>
      </w:r>
      <w:r>
        <w:rPr>
          <w:rFonts w:ascii="Calibri" w:cs="Calibri" w:eastAsia="Calibri" w:hAnsi="Calibri"/>
          <w:b w:val="false"/>
          <w:bCs w:val="false"/>
          <w:i w:val="false"/>
          <w:iCs w:val="false"/>
          <w:sz w:val="21"/>
          <w:szCs w:val="21"/>
        </w:rPr>
        <w:t xml:space="preserve">means information obtained in the course of practice concerning any person to whom a duty or obligation of confidence is owed, whether or not it identifies that person, and includes the brief and every document in it.</w:t>
      </w:r>
    </w:p>
    <w:p>
      <w:pPr>
        <w:spacing w:after="140" w:line="240"/>
        <w:ind w:left="680"/>
        <w:jc w:val="both"/>
      </w:pPr>
      <w:r>
        <w:rPr>
          <w:rFonts w:ascii="Calibri" w:cs="Calibri" w:eastAsia="Calibri" w:hAnsi="Calibri"/>
          <w:b/>
          <w:bCs/>
          <w:i w:val="false"/>
          <w:iCs w:val="false"/>
          <w:sz w:val="21"/>
          <w:szCs w:val="21"/>
        </w:rPr>
        <w:t xml:space="preserve">restricted information </w:t>
      </w:r>
      <w:r>
        <w:rPr>
          <w:rFonts w:ascii="Calibri" w:cs="Calibri" w:eastAsia="Calibri" w:hAnsi="Calibri"/>
          <w:b w:val="false"/>
          <w:bCs w:val="false"/>
          <w:i w:val="false"/>
          <w:iCs w:val="false"/>
          <w:sz w:val="21"/>
          <w:szCs w:val="21"/>
        </w:rPr>
        <w:t xml:space="preserve">means information falling within any of the categories in clause 10.2. Restricted information may only be used with an approval under clause 10.</w:t>
      </w:r>
    </w:p>
    <w:p>
      <w:pPr>
        <w:spacing w:after="140" w:line="240"/>
        <w:ind w:left="680"/>
        <w:jc w:val="both"/>
      </w:pPr>
      <w:r>
        <w:rPr>
          <w:rFonts w:ascii="Calibri" w:cs="Calibri" w:eastAsia="Calibri" w:hAnsi="Calibri"/>
          <w:b/>
          <w:bCs/>
          <w:i w:val="false"/>
          <w:iCs w:val="false"/>
          <w:sz w:val="21"/>
          <w:szCs w:val="21"/>
        </w:rPr>
        <w:t xml:space="preserve">court document </w:t>
      </w:r>
      <w:r>
        <w:rPr>
          <w:rFonts w:ascii="Calibri" w:cs="Calibri" w:eastAsia="Calibri" w:hAnsi="Calibri"/>
          <w:b w:val="false"/>
          <w:bCs w:val="false"/>
          <w:i w:val="false"/>
          <w:iCs w:val="false"/>
          <w:sz w:val="21"/>
          <w:szCs w:val="21"/>
        </w:rPr>
        <w:t xml:space="preserve">means any document filed with or provided to a court or tribunal, including a pleading, a written submission, an affidavit, a witness statement and an expert report, and includes a document settled rather than drawn by the barrister.</w:t>
      </w:r>
    </w:p>
    <w:p>
      <w:pPr>
        <w:spacing w:after="140" w:line="240"/>
        <w:ind w:left="680"/>
        <w:jc w:val="both"/>
      </w:pPr>
      <w:r>
        <w:rPr>
          <w:rFonts w:ascii="Calibri" w:cs="Calibri" w:eastAsia="Calibri" w:hAnsi="Calibri"/>
          <w:b/>
          <w:bCs/>
          <w:i w:val="false"/>
          <w:iCs w:val="false"/>
          <w:sz w:val="21"/>
          <w:szCs w:val="21"/>
        </w:rPr>
        <w:t xml:space="preserve">nominated barrister </w:t>
      </w:r>
      <w:r>
        <w:rPr>
          <w:rFonts w:ascii="Calibri" w:cs="Calibri" w:eastAsia="Calibri" w:hAnsi="Calibri"/>
          <w:b w:val="false"/>
          <w:bCs w:val="false"/>
          <w:i w:val="false"/>
          <w:iCs w:val="false"/>
          <w:sz w:val="21"/>
          <w:szCs w:val="21"/>
        </w:rPr>
        <w:t xml:space="preserve">means the barrister appointed under clause 19.2 to maintain the registers and the shared arrangements at Schedule 9. The nominated barrister does not supervise another barrister's practice, cannot give an approval under clause 10 on another barrister's behalf, and does not by that appointment assume responsibility for another barrister's compliance.</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3.2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Functions that do not generate substantive content are outside this protocol. That includes spelling and grammar correction, formatting, optical character recognition, transcription and translation, provided the tool used is not a public tool and no restricted information is involved. It also includes a search engine that returns a list of results rather than a personalised answer, and dedicated legal research software that searches across legislation, judgments and legal texts without producing a personalised textual answer to a prompt.</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3.3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tool used for any function described in clause 3.2 remains subject to clause 7 and clause 9 where confidential information is provided to it. Being outside the balance of this protocol does not make a tool an approved tool, and transcription, optical character recognition and translation of brief material must be carried out only through a tool recorded in Schedule 1.</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3.4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exclusion in clause 3.2 is narrow. A tool that summarises, drafts, analyses, answers a question or produces a chronology is within this protocol even where it is a feature of software already in use. The generation of chronologies, indexes and witness lists is treated as a permitted use rather than an excluded function.</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4  The obligations this protocol serves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4.1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Paramount duty and the administration of justice. A barrister owes a paramount duty to the administration of justice, and as a specialist advocate must act honestly, fairly, skilfully, bravely and with competence and diligence. A barrister must not engage in conduct that is dishonest or otherwise discreditable, prejudicial to the administration of justice, or likely to diminish public confidence in the legal profession or the administration of justice.</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4.2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Independence. A barrister has an overriding duty to the court to act with independence in the interests of the administration of justice, must exercise forensic judgments and give advice independently and for the proper administration of justice notwithstanding any contrary desire of the client, and must not act as the mere mouthpiece of the client or of the instructing solicitor. The independence the Rules require is easily eroded by reliance on a tool, which is the reason for clause 5.</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4.3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Duty not to mislead, and the duty to correct. A barrister must not deceive or knowingly or recklessly mislead the court, and must take all necessary steps to correct any misleading statement made to a court as soon as possible after becoming aware that it was misleading. A citation that does not exist, or a passage that does not say what the submission asserts, engages both obligations, and the second is not discharged by silence.</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4.4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Adverse authority. A barrister must inform the court of any binding authority, any authority of an Australian appellate court where there is none binding, and any applicable legislation, known to the barrister and reasonably believed to be directly in point against the client's case. A tool that returns only supporting authority does not discharge that duty and may conceal the material that engages it.</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4.5</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Proper basis for allegations. A barrister must not allege a matter of fact in a court document settled by the barrister, in a submission, or in an opening or closing address, unless the barrister believes on reasonable grounds that the factual material already available provides a proper basis. For the purposes of the Rules, alleging includes settling pleadings, affidavits and witness statements, and reading or tendering them, whether or not the barrister drew them. An allegation generated by a tool has no proper basis until the barrister has found one.</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4.6</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Confidentiality. A barrister must not disclose, except as compelled by law, or use in any way confidential information obtained in the course of practice concerning a person to whom a duty of confidence is owed, unless that person has consented to the disclosure or use generally or on specific terms. Where consent is given on specific terms, the information must not be used other than as those terms permit. See clause 9, which explains why this is a stricter starting point than the equivalent rule for solicitors.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4.7</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Conflicts arising from confidential information. A barrister must refuse or return a brief where the barrister holds information confidential to another person in the case which may as a real possibility be material, and the person entitled to the confidentiality has not consented. A shared system that gives one barrister access to another's brief material is capable of disqualifying the first barrister from a brief they would otherwise be free to accept. See clause 19.</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4.8</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Discrimination, sexual harassment and bullying. A barrister must not, in the course of or in connection with legal practice or their profession, engage in conduct constituting discrimination, sexual harassment or bullying. Output that reproduces biased, discriminatory or offensive language, if adopted in work or communications, is capable of contravening that rule and rule 8. See clause 13.</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4.9</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Competence and care. A barrister owes a duty to exercise reasonable care and skill, and must demonstrate the competence and skill reasonably expected of barristers practising in the field. A barrister who does not understand what a tool does with the information given to it is not in a position to judge whether using it is consistent with that duty.</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4.10</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Fees. Where a tool reduces the time a task takes, the time charged must reflect the time actually spent. See clause 15.</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4.11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Court and tribunal instruments. The courts and tribunals in which the barrister appears impose specific requirements which bind the barrister directly and are not mediated by the instructing solicitor. Those in force are listed at Schedule 5 and prevail over this protocol to the extent of any inconsistency.</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5  Releasing work under your name</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5.1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Work is released under the barrister's name to a client, an instructing solicitor, an opponent or a decision-making body only where the barrister:</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(a)</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has exercised independent forensic judgment on it;</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(b)</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has advised independently;</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(c)</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has reviewed it and edited it where necessary;</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(d)</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believes it to be correct and reliable, based on their own training, experience and research; and</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(e)</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can independently explain and support it.</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5.2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fifth limb is the practical test. A barrister must be in a position to defend the professional judgment embodied in the work, on their feet and without the tool. Work that cannot be explained and supported without recourse to the tool that produced it is not to be released, whatever its apparent quality.</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5.3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Clause 5.1 applies to work done by a reader or by a devilling barrister in the same terms. Devilled work is delivered under the name of the barrister briefed, who takes full personal responsibility for it, so the briefed barrister must satisfy each limb personally and cannot rely on the other barrister having done so.</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5.4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Where a tool is used, the barrister must be able to identify which parts of the work it contributed to, and to explain how each was verified. That requirement comes from the courts as well as from this protocol. See clause 11 and clause 17.</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6  Suitability</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6.1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Before using an approved tool on a task, the barrister considers whether the task is one for which a tool is suitable at all. The path at Schedule 6 records the questions to ask.</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6.2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Lower-risk tasks, where the output is readily verified, are the ordinary field of use. They include summarising or reviewing documents and transcripts, producing a chronology, index or witness list from source documents, preparing a first draft of correspondence, suggesting the structure of an argument, and legal research to be checked against primary sources.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6.3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Higher-risk tasks require the barrister's own analysis before any output is used, and are not to be delegated to a reader or a devilling barrister on the strength of a tool's output. They include analysing an unfamiliar area of law, advising on the application of law to facts, assessing the prospects of a case, and any task where an error would not be apparent on review.</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6.4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tool must not be used to make a decision that the Rules require the barrister to make. That includes whether to accept or return a brief, whether a conflict exists, what forensic judgment to exercise in the conduct of a case, whether a factual allegation has a proper basis, whether authority is adverse and must be disclosed to the court, and what to advise. A tool may inform such a decision. It cannot make it.</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6.5</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Output must be assessed for register as well as accuracy. These tools write with unwarranted confidence, and advice will often need qualifications and reservations added before it is fit to send. Responses to the same prompt may differ from one occasion to the next, so an answer obtained once cannot be assumed to be reproducible.</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7  Approved tools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7.1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Confidential information may only be entered into an approved tool, and then only where clause 9 is satisfied. Confidential information must not be entered into a public tool in any form, including a form the user considers anonymised.</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7.2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Anonymisation is not a substitute for using an approved tool. In a matter of any substance the combination of facts, dates, amounts and locations required to obtain a useful answer will often identify the client or the case to a reader who knows the field, and re-identification is outside the barrister's control once the material has been sent.</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7.3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tool is recorded in Schedule 1 by the barrister, or for a shared tool by the nominated barrister under Schedule 9. Recording a tool in a chambers register does not oblige any barrister to use it, and does not relieve a barrister who uses it of the assessment required by this clause.</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7.4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Before a tool is used on any brief material, the barrister must establish and record:</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(a)</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terms of service, and that use of the tool is consistent with them;</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(b)</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that the supplier does not use inputs or outputs to train its models, and that this is a term of the contract rather than a setting a user can alter;</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(c)</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what rights the supplier takes over inputs, and whether anything in the terms operates as a waiver of confidentiality or privilege;</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(d)</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how prompts, inputs and outputs are stored, for how long and by whom;</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(e)</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where the data is processed and stored, and if outside Australia, what follows for the barrister's obligations;</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(f)</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whether the barrister's data is separated from that of every other user, including in any retrieval, embedding, memory or caching layer, and in the case of a shared chambers tool, from that of every other member;</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(g)</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what record the barrister can obtain of what was sent and when;</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(h)</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what the tool records or retains on the local device; and</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(i)</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express decision to use that tool, and the date of it.</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7.5</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requirement in clause 7.4(a) and (i) exists because terms of service change frequently and often without notice. The terms accepted at the time of use may not be the terms recorded when the tool was first assessed, so the record must be dated and must be revisited at each review.</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7.6</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Where a choice exists, preference is given to a tool that presents its output so that the barrister can interrogate the sources or authorities on which it is based.</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7.7</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setting that a user can change is not a control that can be relied on to establish any matter in clause 7.4. Where a matter depends on a setting, it must be enforced by the account, by managed policy or by contract, and where enforcement of that kind is not available the tool is not approved for use with confidential information.</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7.8</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Personal and free accounts must not be used on any brief, even where the underlying product is the same as an approved tool. The account determines the terms, the retention period and whether inputs are used for training.</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7.9</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Approvals are reviewed at least annually and on any material change to the supplier's terms. Schedule 8 records, for each application in use, what is required before it may be used and what the evidence must contain.</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8  Prohibited uses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8.1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following are prohibited without exception:</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(a)</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entering confidential information into a public tool;</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(b)</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using a tool not recorded in Schedule 1 on any brief;</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(c)</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generating the content of an affidavit, a witness statement, a character reference or any other document intended to record or reflect a person's own evidence or opinion, and using a tool to alter, embellish, strengthen, dilute or otherwise rephrase a witness's evidence once it is in written form;</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(d)</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using a tool in the course of settling an affidavit or witness statement in a way that changes the deponent's account, as distinct from identifying an inconsistency or a gap for the barrister to raise in conference;</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(e)</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using restricted information without an approval under clause 10;</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(f)</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releasing work under the barrister's name that does not satisfy clause 5.1;</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(g)</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representing to a court, a client, an instructing solicitor or an opponent that material has been verified when it has not, or misleading any of them as to the nature of the work undertaken;</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(h)</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using a tool to draft or prepare the content of an expert report, or any part of one, without prior leave of the court where leave is required; and</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(i)</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using an AI recording, transcription or note-taking tool during a hearing, or in a courtroom or court precinct. See clause 16.</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8.2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Work preparatory to the drafting of a witness's evidence is not prohibited by clause 8.1(c). Preparing a chronology, an index, a list of topics for conference or a summary of documents for the barrister's own use is permitted. The line is that the affidavit or statement must be sworn, affirmed or finalised in a form that reflects the witness's own knowledge and the witness's own words. A barrister who settles such a document is alleging its contents for the purposes of the Rules and takes responsibility accordingly.</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8.3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tool must not be used to coach a witness, and output must not be used to advise a witness what answers to give. Testing a version of evidence in conference remains permissible, and a tool may assist the barrister to identify what to test, but the questions and the judgment remain the barrister's.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8.4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applications listed in Part D of Schedule 8 must not be used for any purpose connected with practice.</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9  Confidential information and consent</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9.1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This clause is the point at which a barrister's position differs most from a solicitor's, and it should be read before any tool is used on a brief.</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9.2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confidentiality rule that applies to solicitors excludes from its prohibition disclosure to a barrister or an employee of, or person otherwise engaged by, the law practice or an associated entity, for the purposes of delivering or administering legal services in relation to the client. A solicitor engaging a supplier for the purposes of the matter can therefore rely on that exclusion. The rule that applies to barristers has no equivalent. It provides that a barrister does not breach the confidentiality rules simply by showing a brief to, or disclosing information in it to, the instructing solicitor in the matter, a member of the barrister's staff for the purposes of clerical or administrative work, a reader, or another barrister doing work permitted by the devilling rule. That is a closed list, and a technology supplier is not on it.</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9.3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It follows that entering confidential information into a tool is a use of that information for which the barrister requires the consent of the person entitled to the confidence, unless the use falls within one of the categories in clause 9.2. Where consent is given on specific terms, the information must not be used other than as those terms permit.</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9.4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Consent is obtained before the tool is used, ordinarily through the instructing solicitor, and is recorded on the brief. The request identifies the tool, what it will be used for, that the supplier does not train on inputs, where the data is processed, and the limitations of the tool. The wording at Schedule 3 may be used. For the purposes of this protocol, a general statement in a costs agreement or a fee disclosure that technology may be used is not consent. Consent must be directed to the use proposed.</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9.5</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Where consent is refused, or where it cannot be obtained in time, the tool is not used on that brief. That is a complete answer and requires no further inquiry.</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9.6</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member of staff undertaking clerical or administrative work is within clause 9.2, but a clerk or assistant who summarises a brief, drafts from it or analyses it with a tool is not doing clerical or administrative work. Work of that kind requires the same consent as if the barrister had done it, and remains the barrister's responsibility.</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9.7</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Privilege requires separate attention. A barrister may disclose privileged communications only if clearly instructed to do so by the client. Where the terms of a tool operate to waive the client's privilege, or where the use of the tool destroys the confidentiality on which the privilege depends, the barrister may be in breach of the Rules independently of any question of loss to the client. The privilege is the client's to waive and cannot be waived by the barrister's choice of tool.</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9.8</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Inputs and outputs are records. They may be obtained by subpoena, by notice from a regulatory authority, or on discovery, in the same way as any other electronic record. Anything entered into a tool should be composed on that assumption.</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10  Restricted information</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10.1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This clause exists because the constraints on the categories below come from court orders, undertakings and statute rather than from this protocol, and because a breach can amount to contempt.</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10.2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Restricted information is:</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(a)</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information subject to an order as to confidentiality, suppression or non-publication;</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(b)</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information obtained from another party or a third person under compulsion in a proceeding, which is subject to the implied undertaking not to use it for a purpose extraneous to that proceeding without the leave of the court;</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(c)</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material produced on subpoena or under a notice to produce;</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(d)</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information subject to a statutory prohibition or restriction on publication or disclosure, including in proceedings concerning children;</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(e)</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privileged information, including privilege belonging to a person other than the client, and any privileged material whose use may put the privilege in issue; and</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(f)</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information confidential or private to a person other than the client, where that person's consent has not been obtained.</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10.3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Restricted information must not be entered into any tool, including an approved tool, unless the barrister responsible for the conduct of the proceeding has first been satisfied of each of the following and has recorded that satisfaction on the brief:</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(a)</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that the information will remain within the controlled environment of the platform being used, and that the platform is the subject of confidentiality restrictions on the supplier ensuring that the data is not made publicly available and is not used to train any large language model;</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(b)</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that the information is to be used only in connection with the proceeding in which it was obtained, unless otherwise required or permitted by law to be disclosed or required to be reviewed by a law enforcement agency; and</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(c)</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that the information is not used to train the tool or any model.</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10.4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matters in clause 10.3 reproduce the conditions imposed by the instrument at Schedule 5 and are to be read with it rather than as a separate standard. Satisfaction is reached by reviewing the contractual terms and the confidentiality settings actually in force, not by accepting the supplier's description of its product, and the barrister must be able to say what establishes each of those matters. A retention period is not of itself publication and is not training. On that construction, which follows from the text of the instrument but has not been the subject of decision, the absence of a zero retention arrangement does not by itself prevent satisfaction, but where none is available the contractual term and the barrister's own record of what was sent carry the weight.</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10.5</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undertaking can still be breached where the material stays within the tool but an output derived from it is later used in a different matter or for a different purpose. An approval under this clause is confined to the proceeding for which it is given and to the purpose recorded.</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10.6</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judgment required by clause 10.3 is the briefed barrister's. It cannot be made by the nominated barrister, by chambers, by an instructing solicitor or by a reader, and it cannot be inferred from the presence of a tool in Schedule 1. The form at Schedule 4 may be used to record it.</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10.7</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Where the barrister cannot be satisfied of each matter in clause 10.3, the material is not to be used with any tool. Difficulty or inconvenience in establishing those matters is a reason not to use the tool, not a reason to proceed.</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11  Verification</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11.1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barrister who signs, settles, files or delivers a document is responsible for its contents, whether or not a tool was used, and that responsibility is not shared with the tool.</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11.2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Content produced with the assistance of a tool must be verified with meaningful human control. The barrister is responsible for ensuring that it is current, complete, accurate and applicable to the jurisdiction, and must be alert to bias in the output.</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11.3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Before AI-assisted work is delivered, filed, served or relied on, the barrister must confirm:</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(a)</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that every case, statute, regulation, rule, practice note, textbook and article cited exists, is accurately identified as to parties, year, court and pinpoint reference, and stands for the proposition attributed to it;</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(b)</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that every extract and quotation is accurate and attributed to the correct source;</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(c)</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that every authority cited is relevant to the proceeding and applicable to the jurisdiction and the facts;</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(d)</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that the research has been extended to authority against the client's case, and that any binding authority, appellate authority or legislation directly in point against the client's case has been identified for the purposes of the duty of disclosure to the court;</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(e)</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that every reference to evidence exists, is or will be in the material before the court, and is reasonably likely to be admissible;</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(f)</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that any statement about what the evidence establishes is a finding reasonably open on that evidence;</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(g)</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that any allegation of fact rests on material already available that provides a proper basis for it, and that any allegation of criminality, fraud or serious misconduct meets the additional requirements the Rules impose;</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(h)</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that any chronology, index or list of documents is accurate and in the required form; and</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(i)</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that dates, figures, calculations, names and quotations have been checked against the source document, and that the document has been read as a whole and adapted to the case rather than left in the general terms a tool produces.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11.4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Clause 11.3(d) is the limb most easily overlooked. A tool asked to support a proposition will return support for it. The duty to inform the court of authority against the client's case is not discharged by a search designed to assist the client, and the barrister must search for the adverse position deliberately.</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11.5</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Verification is carried out against a source known to be accurate. For case law that means an authorised report or a recognised free-access service, for legislation an authorised government site, and for a document in the brief the document itself. Reading the judgment or the section is what discharges the obligation.</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11.6</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It is not verification to ask a tool whether the material it produced exists or says what it claims. One tool cannot be used to confirm the output of another. Tools will confirm that inaccurate information is accurate when asked, and a practitioner who did so and relied on the answer has been the subject of judicial criticism and sanction. Where the tool holds the original source material and displays it, the barrister may verify the content by reading that original source within the tool.</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11.7</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Verification must not be carried out solely by using a tool. Where the barrister is not able to check the output, or does not have the time to do so, the output is not relied on at all, as a matter of prudence and of the proper discharge of the barrister's responsibilities.</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12  Disclosure to courts and tribunals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12.1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Requirements differ between courts. Schedule 5 records what applies where the barrister appears, and must be checked before a document is filed. The requirements below are the barrister's standing position and apply in every jurisdiction, including one in which no instrument is in force. The absence of an instrument does not reduce the duty not to mislead the court.</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12.2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Written submissions and summaries of argument. Where a tool has been used in the preparation of a written submission, summary or skeleton of argument, the author must verify in the body of the document that all citations, legal and academic authority, case law and legislative references exist, are accurate and are relevant to the proceeding, and must make the same verification in relation to references to evidence, whether in an affidavit or in transcript. The wording at Schedule 3 may be used.</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12.3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Affidavits, witness statements and character references. In some jurisdictions these must contain a disclosure that generative AI was not used in generating their content, including by altering, embellishing, strengthening, diluting or rephrasing the evidence, and, subject to leave, in generating the content of an annexure or exhibit prepared for the purposes of the evidence. Where the instrument at Schedule 5 imposes that requirement, the disclosure is required whether or not a tool was used, and its absence is a defect in the document. A barrister settling such a document must check that the disclosure is present and correct before it is sworn or affirmed.</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12.4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Evidentiary material generally. Use of a tool must be disclosed where it has been used to summarise or analyse information on which a witness relies to make a statement of fact or express an opinion, where it has produced an image, video, audio recording or other multimedia placed before the court, or where it has been used in any way that might reasonably be expected to affect the admissibility of the evidence or the use the court makes of it. Disclosure appears in the body of the document at its start and states as concisely as possible where and how the tool was used.</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12.5</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Readiness to answer. The barrister must be in a position to tell the court what tool was used, how it was used and for what purpose, whether or not disclosure was required, and to identify the portions of a document produced with its assistance and explain how the output was verified. A court may direct that this information be provided, and a judge may require an assurance identifying the process of verification followed. The record kept under clause 17 exists for that purpose.</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12.6</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Experts. Where leave is required before a tool may be used in preparing an expert report, that leave must be obtained before the expert begins, and an application for leave must identify the proposed use, the tool and its version, whether it is closed-source or open-source and what privacy or confidentiality settings it has, the benefit expected, and the documents proposed to be submitted to the tool. Where the barrister has a role in instructing or conferring with an expert, the requirements of the relevant instrument must be drawn to the expert's attention, and the expert must be asked whether a tool has been or is proposed to be used.</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12.7</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Where the barrister becomes aware that a document filed or served contains inaccurate material generated or affected by a tool, the barrister must take all necessary steps to correct it with the court as soon as possible, and must inform the instructing solicitor and the client. Consequences of non-compliance include adverse costs orders made personally, referral to the professional regulator, and restriction of a practising certificate.</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13  Bias, discrimination and offensive output</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13.1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Output may reproduce biased, discriminatory or offensive language present in the material on which the tool was built, including gendered and racist content, and may present outdated interpretations of legal principle as current because older and more frequently replicated material is favoured.</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13.2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Output must be reviewed so that language of that kind is not repeated or endorsed in any work produced by, or communication emanating from, the barrister. Language of that kind deployed in a communication with a court, a client, an instructing solicitor or an opponent is capable of contravening the rules concerning discreditable conduct and discrimination, and of exposing the barrister to disciplinary action.</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13.3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Particular care is required where a tool is used in relation to evidence given by a vulnerable witness, or in a proceeding concerning sexual assault or an act of indecency, where the Rules constrain the manner and tone of questioning and require the witness's vulnerability to be taken into account. Questions and cross-examination are not to be generated by a tool.</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14  Copyright and ownership</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14.1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sources of text generated by a tool are generally unknown. Care must be taken not to reproduce a substantial part of a third party's work in advice, submissions or other work done under the barrister's name, because use of such a document may involve liability. Litigation has been brought against operators of these tools alleging that the material on which they were built incorporates copyright material without consent.</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14.2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defence may be available under the Copyright Act 1968 (Cth) where the relevant act is for the purpose of a judicial proceeding, or for the giving of professional advice by a legal practitioner, provided the use is a fair dealing. That is a defence to be relied on if needed rather than a licence to reproduce.</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14.3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Copyright in a literary work requires a human author. Where a substantial part of an advice or a submission is generated directly by a tool rather than drafted by the barrister from information the tool provided, the barrister may not own copyright in it. That is a further reason why the drafting must be the barrister's own.</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14.4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Where work is submitted for publication in a journal or delivered as a paper, the applicable guidelines on plagiarism and attribution of sources apply, and the use of a tool must be disclosed if those guidelines require it.</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15  Fees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15.1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Where a tool reduces the time a task takes, and the retainer is time-based, the time charged must reflect the time actually spent.</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15.2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Time spent verifying output is part of the work and is charged as such, but the use of a tool must not increase the cost to the client above what conventional methods would have cost. Where verification or correction consumes the saving, the tool was not suitable for the task and its use should be reconsidered under clause 6.</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15.3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cost of a tool is not charged to a client as a disbursement unless the costs agreement or fee disclosure provides for it.</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15.4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On request, the client or the instructing solicitor is to be told how the use of a tool is reflected in the fees charged.</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16  Recording, transcription and note-taking</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16.1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This clause applies to any tool that records, transcribes or summarises a conference, meeting or telephone call, whether it joins as a participant, runs on the device, or processes a recording afterwards. A recorded conference with a client or a witness is among the most sensitive material a barrister holds.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16.2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Only a tool recorded in Part C of Schedule 8 may be used. A tool that joins a conference, begins recording or circulates a transcript without a positive act by the user must not be installed on a device used in practice.</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16.3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Recording must not begin until every participant has been told that the conference is being recorded and transcribed by a tool, and has agreed. Agreement is obtained on the record at the start and noted on the brief. The wording at Schedule 3 may be used. The law of the relevant State or Territory constrains both the recording of a private conversation and its distribution, and the constraints differ between jurisdictions, so the applicable position must be identified before recording and the strictest applicable position governs where participants are in different States.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16.4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Recording, transcription and note-taking by any means, including an application running on a laptop or telephone connected to a hearing, is prohibited in a courtroom or court precinct and in any remote hearing. Leave of the court is required and is not to be assumed from the fact that a hearing is conducted remotely. Unauthorised recording in court premises is an offence, and the rules of the relevant court restrict transmission and distribution.</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16.5</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transcript produced by a tool is not evidence of what was said. It is a working record, it contains errors, and it must not be provided to a client, an instructing solicitor, an opponent or a court as a record of the conference without being checked against the audio by the person who was present.</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16.6</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Where a conference concerns restricted information, clause 10 applies to the recording and to the transcript, and an approval under clause 10.3 is required before either is provided to any tool.</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17  Records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17.1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Where a tool has been used on a brief, the barrister keeps a record on the brief of the prompts used, the choices made, the output obtained, what use was made of it, and how it was verified and against what source. The form at Schedule 2 may be used.</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17.2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record must be sufficient to allow the barrister to identify the portions of any document produced with the assistance of a tool and to explain how each was verified, because a court may require exactly that. It must also record the tool and its version, the date, and the person who used it, including where that person was a reader or a devilling barrister.</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17.3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record of the terms of service, and of the express decision to use the tool, is kept with the register at Schedule 1 and is dated, because the terms change and the terms accepted at the time of use may not be those recorded when the tool was assessed.</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17.4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record required by this clause is the record kept on the brief. A session history held by the tool, and any operational log, are not a substitute for it, are retained for shorter periods, and may not record content at all.</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17.5</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Records under this clause are retained for the same period as the brief. They may be subject to a subpoena directed to the barrister, to a notice from a regulatory authority, and to production in a fee dispute or a complaint, and are to be prepared on that basis.</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18  Readers, devils and staff</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18.1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reader or a devilling barrister must be told, before being shown a brief, whether a tool may be used on it, on what terms, and whether the brief contains restricted information. The default is that a tool may not be used unless the briefed barrister says so.</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18.2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reader or devilling barrister who has used a tool must tell the briefed barrister, identify what it was used for and what it produced, and provide the record required by clause 17. Devilled work is delivered under the briefed barrister's name, so the briefed barrister must satisfy clause 5.1 personally.</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18.3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clerk, secretary or assistant may use an approved tool for clerical and administrative work. Summarising, drafting from or analysing brief material is not clerical or administrative work, and requires the barrister's express direction and the consent required by clause 9.</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18.4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No person may use an approved tool on brief material until they have read this protocol and acknowledged it. The acknowledgment at Schedule 11 may be used.</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19  Chambers arrangements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19.1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Chambers is not a practice. It cannot hold a brief, cannot supervise a barrister's practice, and cannot discharge any obligation under this protocol on a barrister's behalf. The arrangements in this clause and at Schedule 9 exist because certain risks arise from shared facilities and can only be managed at floor level.</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19.2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members appoint [a member or the clerk] as nominated barrister to maintain the shared registers, to record the assessment of any shared tool, and to bring a change in a supplier's terms to the members' attention. The appointment carries no supervisory function.</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19.3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principal risk from a shared tool is not confidentiality in the abstract but disqualification. Members of the same chambers routinely appear against one another, which is proper and long established. A tool that pools members' brief material, retains a shared history, builds a shared index or memory, or allows one member to retrieve what another has entered, is capable of putting a member in possession of information confidential to another person in a case. Where that information may as a real possibility be material and the person entitled to the confidentiality has not consented, the Rules require the member to refuse or return the brief.</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19.4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It follows that a shared tool must be configured so that each member's material is separated from every other member's, in storage, in retrieval, in any memory or personalisation feature, and in any administrative or analytics view. A tool that cannot be configured that way is not to be adopted for brief material, whatever its other merits. Where a shared administrative view of usage is available, it must not expose the content of any member's prompts or documents.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19.5</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Shared infrastructure is addressed on the same principle. Chambers document stores, scanners, printers, backup systems and network drives must not be configured so that brief material is indexed by any tool available to other members.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19.6</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Adoption of a tool by chambers does not oblige any member to use it, does not constitute the assessment required by clause 7.4, and does not constitute the satisfaction required by clause 10.3. Each remains the responsibility of the member who uses the tool on a brief.</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19.7</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clerk who arranges briefs across members occupies a position of particular sensitivity. A clerk must not enter the content of any brief into a tool, and any tool used for listing, scheduling or fee administration must be assessed on the footing that it will hold information about who is briefed in what.</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20  Incidents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20.1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barrister must act immediately, and in any event on the same day, on becoming aware of any of the following:</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(a)</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confidential information entered into a public tool;</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(b)</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restricted information used without an approval under clause 10;</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(c)</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use of a tool not recorded in Schedule 1 on a brief;</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(d)</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inaccurate or fabricated material delivered to a client or an instructing solicitor, or filed, served or relied on in a court;</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(e)</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suspected security incident affecting an approved tool, or the possibility that a shared tool has exposed one member's material to another; or</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(f)</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any use of a tool that may breach this protocol, whether by the barrister, a reader, a devilling barrister or a member of staff.</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20.2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On becoming aware of an incident the barrister must consider, and record the consideration of, whether the incident requires a correction to the court, disclosure to the client and the instructing solicitor, the return of a brief, notification to the professional indemnity insurer, notification to the Bar Association, and in the case of a shared tool, notification to the other members affected.</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20.3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presumption is that the client and the instructing solicitor are told. A decision not to tell them is recorded with the reasons for it. A correction to the court is not a matter of discretion where the duty to correct a misleading statement is engaged.</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20.4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Notification to the insurer is governed by the policy of insurance, and where an incident may give rise to a claim the requirements of that policy are attended to before any communication about liability.</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21  Compliance and consequences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21.1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failure to comply with this protocol is capable of constituting a breach of the Rules, which may give rise to a complaint and to disciplinary action. The published guidance of the Bar Association may be considered in relation to any such complaint.</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21.2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failure may also expose the barrister to a costs order made personally, to a referral to the professional regulator, and to a finding of unsatisfactory professional conduct or professional misconduct.</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21.3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barrister reviews compliance with this protocol at least annually, together with the registers at Schedules 1 and 8.</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22  Review</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22.1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This protocol is reviewed at least annually, and on any amendment to the Rules, to the instruments at Schedule 5 or to the guidance of the Bar Association, on any material change to the terms of a tool in use, and on any incident under clause 20 that indicates a deficiency in it.</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22.2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field changes quickly and developments will occur that this protocol does not address. The barrister remains responsible for ensuring that any tool used is appropriate for that use and that the Rules are adhered to at all times, whether or not this protocol has caught up.</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22.3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version history is recorded in the document control table at the front of this protocol.</w:t>
      </w:r>
    </w:p>
    <w:p>
      <w:r>
        <w:br w:type="page"/>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Schedule 1  Register of tools</w:t>
      </w:r>
    </w:p>
    <w:p>
      <w:pPr>
        <w:spacing w:after="200" w:line="240"/>
        <w:ind w:left="340" w:right="340"/>
        <w:jc w:val="both"/>
      </w:pPr>
      <w:r>
        <w:rPr>
          <w:rFonts w:ascii="Calibri" w:cs="Calibri" w:eastAsia="Calibri" w:hAnsi="Calibri"/>
          <w:b w:val="false"/>
          <w:bCs w:val="false"/>
          <w:i/>
          <w:iCs/>
          <w:color w:val="595959"/>
          <w:sz w:val="19"/>
          <w:szCs w:val="19"/>
        </w:rPr>
        <w:t xml:space="preserve">No tool is approved until it appears here. The matters at clause 7.4 are recorded in full in the underlying assessment, which is kept with this register together with the terms of service and the dated decision to use.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500"/>
        <w:gridCol w:w="1450"/>
        <w:gridCol w:w="1750"/>
        <w:gridCol w:w="1500"/>
        <w:gridCol w:w="1200"/>
        <w:gridCol w:w="1400"/>
      </w:tblGrid>
      <w:tr>
        <w:trPr>
          <w:tblHeader/>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Tool and version</w:t>
            </w:r>
          </w:p>
        </w:tc>
        <w:tc>
          <w:tcPr>
            <w:tcW w:type="dxa" w:w="145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Account</w:t>
            </w:r>
          </w:p>
        </w:tc>
        <w:tc>
          <w:tcPr>
            <w:tcW w:type="dxa" w:w="175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Permitted uses</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Data location</w:t>
            </w:r>
          </w:p>
        </w:tc>
        <w:tc>
          <w:tcPr>
            <w:tcW w:type="dxa" w:w="12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Retention and training</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Assessed / review</w:t>
            </w:r>
          </w:p>
        </w:tc>
      </w:tr>
      <w:tr>
        <w:trPr>
          <w:tblHeader w:val="false"/>
        </w:trPr>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[Tool name]</w:t>
            </w:r>
          </w:p>
          <w:p>
            <w:pPr>
              <w:spacing w:after="0" w:line="240"/>
            </w:pPr>
            <w:r>
              <w:rPr>
                <w:rFonts w:ascii="Calibri" w:cs="Calibri" w:eastAsia="Calibri" w:hAnsi="Calibri"/>
                <w:b w:val="false"/>
                <w:bCs w:val="false"/>
                <w:i w:val="false"/>
                <w:iCs w:val="false"/>
                <w:sz w:val="19"/>
                <w:szCs w:val="19"/>
              </w:rPr>
              <w:t xml:space="preserve">[version or plan]</w:t>
            </w:r>
          </w:p>
        </w:tc>
        <w:tc>
          <w:tcPr>
            <w:tcW w:type="dxa" w:w="145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[Account in the</w:t>
            </w:r>
          </w:p>
          <w:p>
            <w:pPr>
              <w:spacing w:after="0" w:line="240"/>
            </w:pPr>
            <w:r>
              <w:rPr>
                <w:rFonts w:ascii="Calibri" w:cs="Calibri" w:eastAsia="Calibri" w:hAnsi="Calibri"/>
                <w:b w:val="false"/>
                <w:bCs w:val="false"/>
                <w:i w:val="false"/>
                <w:iCs w:val="false"/>
                <w:sz w:val="19"/>
                <w:szCs w:val="19"/>
              </w:rPr>
              <w:t xml:space="preserve">barrister's name]</w:t>
            </w:r>
          </w:p>
          <w:p>
            <w:pPr>
              <w:spacing w:after="0" w:line="240"/>
            </w:pPr>
            <w:r>
              <w:rPr>
                <w:rFonts w:ascii="Calibri" w:cs="Calibri" w:eastAsia="Calibri" w:hAnsi="Calibri"/>
                <w:b w:val="false"/>
                <w:bCs w:val="false"/>
                <w:i w:val="false"/>
                <w:iCs w:val="false"/>
                <w:sz w:val="19"/>
                <w:szCs w:val="19"/>
              </w:rPr>
              <w:t xml:space="preserve">[not a personal or</w:t>
            </w:r>
          </w:p>
          <w:p>
            <w:pPr>
              <w:spacing w:after="0" w:line="240"/>
            </w:pPr>
            <w:r>
              <w:rPr>
                <w:rFonts w:ascii="Calibri" w:cs="Calibri" w:eastAsia="Calibri" w:hAnsi="Calibri"/>
                <w:b w:val="false"/>
                <w:bCs w:val="false"/>
                <w:i w:val="false"/>
                <w:iCs w:val="false"/>
                <w:sz w:val="19"/>
                <w:szCs w:val="19"/>
              </w:rPr>
              <w:t xml:space="preserve">free account]</w:t>
            </w:r>
          </w:p>
        </w:tc>
        <w:tc>
          <w:tcPr>
            <w:tcW w:type="dxa" w:w="175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[Research, summarising, first drafts]</w:t>
            </w:r>
          </w:p>
          <w:p>
            <w:pPr>
              <w:spacing w:after="0" w:line="240"/>
            </w:pPr>
            <w:r>
              <w:rPr>
                <w:rFonts w:ascii="Calibri" w:cs="Calibri" w:eastAsia="Calibri" w:hAnsi="Calibri"/>
                <w:b w:val="false"/>
                <w:bCs w:val="false"/>
                <w:i w:val="false"/>
                <w:iCs w:val="false"/>
                <w:sz w:val="19"/>
                <w:szCs w:val="19"/>
              </w:rPr>
              <w:t xml:space="preserve">[Not approved for restricted information]</w:t>
            </w:r>
          </w:p>
        </w:tc>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[Country]</w:t>
            </w:r>
          </w:p>
          <w:p>
            <w:pPr>
              <w:spacing w:after="0" w:line="240"/>
            </w:pPr>
            <w:r>
              <w:rPr>
                <w:rFonts w:ascii="Calibri" w:cs="Calibri" w:eastAsia="Calibri" w:hAnsi="Calibri"/>
                <w:b w:val="false"/>
                <w:bCs w:val="false"/>
                <w:i w:val="false"/>
                <w:iCs w:val="false"/>
                <w:sz w:val="19"/>
                <w:szCs w:val="19"/>
              </w:rPr>
              <w:t xml:space="preserve">[basis recorded]</w:t>
            </w:r>
          </w:p>
        </w:tc>
        <w:tc>
          <w:tcPr>
            <w:tcW w:type="dxa" w:w="1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[Period]</w:t>
            </w:r>
          </w:p>
          <w:p>
            <w:pPr>
              <w:spacing w:after="0" w:line="240"/>
            </w:pPr>
            <w:r>
              <w:rPr>
                <w:rFonts w:ascii="Calibri" w:cs="Calibri" w:eastAsia="Calibri" w:hAnsi="Calibri"/>
                <w:b w:val="false"/>
                <w:bCs w:val="false"/>
                <w:i w:val="false"/>
                <w:iCs w:val="false"/>
                <w:sz w:val="19"/>
                <w:szCs w:val="19"/>
              </w:rPr>
              <w:t xml:space="preserve">[training off, by</w:t>
            </w:r>
          </w:p>
          <w:p>
            <w:pPr>
              <w:spacing w:after="0" w:line="240"/>
            </w:pPr>
            <w:r>
              <w:rPr>
                <w:rFonts w:ascii="Calibri" w:cs="Calibri" w:eastAsia="Calibri" w:hAnsi="Calibri"/>
                <w:b w:val="false"/>
                <w:bCs w:val="false"/>
                <w:i w:val="false"/>
                <w:iCs w:val="false"/>
                <w:sz w:val="19"/>
                <w:szCs w:val="19"/>
              </w:rPr>
              <w:t xml:space="preserve">contract]</w:t>
            </w:r>
          </w:p>
        </w:tc>
        <w:tc>
          <w:tcPr>
            <w:tcW w:type="dxa" w:w="14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[Date]</w:t>
            </w:r>
          </w:p>
          <w:p>
            <w:pPr>
              <w:spacing w:after="0" w:line="240"/>
            </w:pPr>
            <w:r>
              <w:rPr>
                <w:rFonts w:ascii="Calibri" w:cs="Calibri" w:eastAsia="Calibri" w:hAnsi="Calibri"/>
                <w:b w:val="false"/>
                <w:bCs w:val="false"/>
                <w:i w:val="false"/>
                <w:iCs w:val="false"/>
                <w:sz w:val="19"/>
                <w:szCs w:val="19"/>
              </w:rPr>
              <w:t xml:space="preserve">[Terms of service</w:t>
            </w:r>
          </w:p>
          <w:p>
            <w:pPr>
              <w:spacing w:after="0" w:line="240"/>
            </w:pPr>
            <w:r>
              <w:rPr>
                <w:rFonts w:ascii="Calibri" w:cs="Calibri" w:eastAsia="Calibri" w:hAnsi="Calibri"/>
                <w:b w:val="false"/>
                <w:bCs w:val="false"/>
                <w:i w:val="false"/>
                <w:iCs w:val="false"/>
                <w:sz w:val="19"/>
                <w:szCs w:val="19"/>
              </w:rPr>
              <w:t xml:space="preserve">recorded]</w:t>
            </w:r>
          </w:p>
          <w:p>
            <w:pPr>
              <w:spacing w:after="0" w:line="240"/>
            </w:pPr>
            <w:r>
              <w:rPr>
                <w:rFonts w:ascii="Calibri" w:cs="Calibri" w:eastAsia="Calibri" w:hAnsi="Calibri"/>
                <w:b w:val="false"/>
                <w:bCs w:val="false"/>
                <w:i w:val="false"/>
                <w:iCs w:val="false"/>
                <w:sz w:val="19"/>
                <w:szCs w:val="19"/>
              </w:rPr>
              <w:t xml:space="preserve">[Review date]</w:t>
            </w:r>
          </w:p>
        </w:tc>
      </w:tr>
      <w:tr>
        <w:trPr>
          <w:tblHeader w:val="false"/>
        </w:trPr>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c>
          <w:tcPr>
            <w:tcW w:type="dxa" w:w="145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c>
          <w:tcPr>
            <w:tcW w:type="dxa" w:w="175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c>
          <w:tcPr>
            <w:tcW w:type="dxa" w:w="1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c>
          <w:tcPr>
            <w:tcW w:type="dxa" w:w="14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c>
          <w:tcPr>
            <w:tcW w:type="dxa" w:w="145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c>
          <w:tcPr>
            <w:tcW w:type="dxa" w:w="175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c>
          <w:tcPr>
            <w:tcW w:type="dxa" w:w="1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c>
          <w:tcPr>
            <w:tcW w:type="dxa" w:w="14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bl>
    <w:p>
      <w:pPr>
        <w:spacing w:after="200"/>
      </w:pPr>
      <w:r>
        <w:rPr>
          <w:rFonts w:ascii="Calibri" w:cs="Calibri" w:eastAsia="Calibri" w:hAnsi="Calibri"/>
          <w:b w:val="false"/>
          <w:bCs w:val="false"/>
          <w:i w:val="false"/>
          <w:iCs w:val="false"/>
          <w:sz w:val="21"/>
          <w:szCs w:val="21"/>
        </w:rPr>
        <w:t xml:space="preserve"/>
      </w:r>
    </w:p>
    <w:p>
      <w:pPr>
        <w:spacing w:after="160" w:line="240"/>
        <w:ind w:left="680"/>
        <w:jc w:val="both"/>
      </w:pPr>
      <w:r>
        <w:rPr>
          <w:rFonts w:ascii="Calibri" w:cs="Calibri" w:eastAsia="Calibri" w:hAnsi="Calibri"/>
          <w:b w:val="false"/>
          <w:bCs w:val="false"/>
          <w:i w:val="false"/>
          <w:iCs w:val="false"/>
          <w:sz w:val="21"/>
          <w:szCs w:val="21"/>
        </w:rPr>
        <w:t xml:space="preserve">A tool may be recorded as not approved for use with restricted information under clause 10 while remaining approved for other purposes. Where that is the case it must be stated in the permitted uses column.</w:t>
      </w:r>
    </w:p>
    <w:p>
      <w:r>
        <w:br w:type="page"/>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Schedule 2  AI use record</w:t>
      </w:r>
    </w:p>
    <w:p>
      <w:pPr>
        <w:spacing w:after="200" w:line="240"/>
        <w:ind w:left="340" w:right="340"/>
        <w:jc w:val="both"/>
      </w:pPr>
      <w:r>
        <w:rPr>
          <w:rFonts w:ascii="Calibri" w:cs="Calibri" w:eastAsia="Calibri" w:hAnsi="Calibri"/>
          <w:b w:val="false"/>
          <w:bCs w:val="false"/>
          <w:i/>
          <w:iCs/>
          <w:color w:val="595959"/>
          <w:sz w:val="19"/>
          <w:szCs w:val="19"/>
        </w:rPr>
        <w:t xml:space="preserve">To be completed and kept on the brief where clause 17.1 applies.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Item</w:t>
            </w:r>
          </w:p>
        </w:tc>
        <w:tc>
          <w:tcPr>
            <w:tcW w:type="dxa" w:w="62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Detail</w:t>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Brief, case and proceeding number</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Instructing solicitor, or direct access</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Consent under clause 9, date and terms</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Date of use</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Person who used the tool</w:t>
            </w:r>
          </w:p>
          <w:p>
            <w:pPr>
              <w:spacing w:after="0" w:line="240"/>
            </w:pPr>
            <w:r>
              <w:rPr>
                <w:rFonts w:ascii="Calibri" w:cs="Calibri" w:eastAsia="Calibri" w:hAnsi="Calibri"/>
                <w:b w:val="false"/>
                <w:bCs w:val="false"/>
                <w:i w:val="false"/>
                <w:iCs w:val="false"/>
                <w:sz w:val="19"/>
                <w:szCs w:val="19"/>
              </w:rPr>
              <w:t xml:space="preserve">(barrister, reader, devil, staff)</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Tool and version</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Purpose</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Prompts used, and choices made</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Material provided to the tool</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Output obtained, and use made of it</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Specific portions of any document</w:t>
            </w:r>
          </w:p>
          <w:p>
            <w:pPr>
              <w:spacing w:after="0" w:line="240"/>
            </w:pPr>
            <w:r>
              <w:rPr>
                <w:rFonts w:ascii="Calibri" w:cs="Calibri" w:eastAsia="Calibri" w:hAnsi="Calibri"/>
                <w:b w:val="false"/>
                <w:bCs w:val="false"/>
                <w:i w:val="false"/>
                <w:iCs w:val="false"/>
                <w:sz w:val="19"/>
                <w:szCs w:val="19"/>
              </w:rPr>
              <w:t xml:space="preserve">produced with assistance</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Verified by, and against what source</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Adverse authority search carried out</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Date of verification</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Disclosure made to the court, if any</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Clause 10 approval reference, if any</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bl>
    <w:p>
      <w:r>
        <w:br w:type="page"/>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Schedule 3  Standard wordings</w:t>
      </w:r>
    </w:p>
    <w:p>
      <w:pPr>
        <w:spacing w:after="200" w:line="240"/>
        <w:ind w:left="340" w:right="340"/>
        <w:jc w:val="both"/>
      </w:pPr>
      <w:r>
        <w:rPr>
          <w:rFonts w:ascii="Calibri" w:cs="Calibri" w:eastAsia="Calibri" w:hAnsi="Calibri"/>
          <w:b w:val="false"/>
          <w:bCs w:val="false"/>
          <w:i/>
          <w:iCs/>
          <w:color w:val="595959"/>
          <w:sz w:val="19"/>
          <w:szCs w:val="19"/>
        </w:rPr>
        <w:t xml:space="preserve">Check each against the instrument that applies in the relevant court before use.</w:t>
      </w:r>
    </w:p>
    <w:p>
      <w:pPr>
        <w:pStyle w:val="Heading2"/>
        <w:spacing w:after="100" w:before="240"/>
      </w:pPr>
      <w:r>
        <w:rPr>
          <w:rFonts w:ascii="Calibri" w:cs="Calibri" w:eastAsia="Calibri" w:hAnsi="Calibri"/>
          <w:b/>
          <w:bCs/>
          <w:i w:val="false"/>
          <w:iCs w:val="false"/>
          <w:color w:val="000000"/>
          <w:sz w:val="21"/>
          <w:szCs w:val="21"/>
        </w:rPr>
        <w:t xml:space="preserve">Written submissions</w:t>
      </w:r>
    </w:p>
    <w:p>
      <w:pPr>
        <w:pBdr>
          <w:left w:val="single" w:color="404040" w:sz="12" w:space="12"/>
        </w:pBdr>
        <w:spacing w:after="200" w:before="80" w:line="240"/>
        <w:ind w:left="680" w:right="340"/>
        <w:jc w:val="both"/>
      </w:pPr>
      <w:r>
        <w:rPr>
          <w:rFonts w:ascii="Calibri" w:cs="Calibri" w:eastAsia="Calibri" w:hAnsi="Calibri"/>
          <w:b w:val="false"/>
          <w:bCs w:val="false"/>
          <w:i w:val="false"/>
          <w:iCs w:val="false"/>
          <w:sz w:val="21"/>
          <w:szCs w:val="21"/>
        </w:rPr>
        <w:t xml:space="preserve">The preparation of these submissions involved the use of a generative artificial intelligence tool. All citations, legal and academic authority, case law and legislative references in these submissions exist, are accurate and are relevant to these proceedings. All references to evidence, whether contained in affidavits or transcript, have been verified to the same standard. That verification was not carried out by a generative artificial intelligence tool.</w:t>
      </w:r>
    </w:p>
    <w:p>
      <w:pPr>
        <w:pStyle w:val="Heading2"/>
        <w:spacing w:after="100" w:before="240"/>
      </w:pPr>
      <w:r>
        <w:rPr>
          <w:rFonts w:ascii="Calibri" w:cs="Calibri" w:eastAsia="Calibri" w:hAnsi="Calibri"/>
          <w:b/>
          <w:bCs/>
          <w:i w:val="false"/>
          <w:iCs w:val="false"/>
          <w:color w:val="000000"/>
          <w:sz w:val="21"/>
          <w:szCs w:val="21"/>
        </w:rPr>
        <w:t xml:space="preserve">Request to the instructing solicitor for the client's consent</w:t>
      </w:r>
    </w:p>
    <w:p>
      <w:pPr>
        <w:pBdr>
          <w:left w:val="single" w:color="404040" w:sz="12" w:space="12"/>
        </w:pBdr>
        <w:spacing w:after="200" w:before="80" w:line="240"/>
        <w:ind w:left="680" w:right="340"/>
        <w:jc w:val="both"/>
      </w:pPr>
      <w:r>
        <w:rPr>
          <w:rFonts w:ascii="Calibri" w:cs="Calibri" w:eastAsia="Calibri" w:hAnsi="Calibri"/>
          <w:b w:val="false"/>
          <w:bCs w:val="false"/>
          <w:i w:val="false"/>
          <w:iCs w:val="false"/>
          <w:sz w:val="21"/>
          <w:szCs w:val="21"/>
        </w:rPr>
        <w:t xml:space="preserve">I propose to use [tool and version] in preparing [the advice / the submissions] in this matter, for [research / summarising the documents at tabs X to Y / preparing a first draft]. The tool is a closed system. Its supplier is contractually bound not to use material entered into it to train any model and not to make that material publicly available, and the data is processed in [location]. The tool can produce material that is inaccurate or fabricated, and everything it produces will be verified by me against the primary sources before it is used. Because the confidentiality rules that bind barristers do not treat a technology supplier in the same way as they treat you, a reader or my staff, I need your client's consent before I use it on this brief. Please confirm whether that consent is given, and on what terms. If it is not given, I will not use the tool on this matter and it will make no difference to how the work is done.</w:t>
      </w:r>
    </w:p>
    <w:p>
      <w:pPr>
        <w:pStyle w:val="Heading2"/>
        <w:spacing w:after="100" w:before="240"/>
      </w:pPr>
      <w:r>
        <w:rPr>
          <w:rFonts w:ascii="Calibri" w:cs="Calibri" w:eastAsia="Calibri" w:hAnsi="Calibri"/>
          <w:b/>
          <w:bCs/>
          <w:i w:val="false"/>
          <w:iCs w:val="false"/>
          <w:color w:val="000000"/>
          <w:sz w:val="21"/>
          <w:szCs w:val="21"/>
        </w:rPr>
        <w:t xml:space="preserve">Affidavit, witness statement or character reference</w:t>
      </w:r>
    </w:p>
    <w:p>
      <w:pPr>
        <w:pBdr>
          <w:left w:val="single" w:color="404040" w:sz="12" w:space="12"/>
        </w:pBdr>
        <w:spacing w:after="200" w:before="80" w:line="240"/>
        <w:ind w:left="680" w:right="340"/>
        <w:jc w:val="both"/>
      </w:pPr>
      <w:r>
        <w:rPr>
          <w:rFonts w:ascii="Calibri" w:cs="Calibri" w:eastAsia="Calibri" w:hAnsi="Calibri"/>
          <w:b w:val="false"/>
          <w:bCs w:val="false"/>
          <w:i w:val="false"/>
          <w:iCs w:val="false"/>
          <w:sz w:val="21"/>
          <w:szCs w:val="21"/>
        </w:rPr>
        <w:t xml:space="preserve">Generative artificial intelligence was not used in generating the content of this affidavit, including by altering, embellishing, strengthening, diluting or rephrasing my evidence.</w:t>
      </w:r>
    </w:p>
    <w:p>
      <w:pPr>
        <w:pStyle w:val="Heading2"/>
        <w:spacing w:after="100" w:before="240"/>
      </w:pPr>
      <w:r>
        <w:rPr>
          <w:rFonts w:ascii="Calibri" w:cs="Calibri" w:eastAsia="Calibri" w:hAnsi="Calibri"/>
          <w:b/>
          <w:bCs/>
          <w:i w:val="false"/>
          <w:iCs w:val="false"/>
          <w:color w:val="000000"/>
          <w:sz w:val="21"/>
          <w:szCs w:val="21"/>
        </w:rPr>
        <w:t xml:space="preserve">Disclosure of use in evidentiary material</w:t>
      </w:r>
    </w:p>
    <w:p>
      <w:pPr>
        <w:pBdr>
          <w:left w:val="single" w:color="404040" w:sz="12" w:space="12"/>
        </w:pBdr>
        <w:spacing w:after="200" w:before="80" w:line="240"/>
        <w:ind w:left="680" w:right="340"/>
        <w:jc w:val="both"/>
      </w:pPr>
      <w:r>
        <w:rPr>
          <w:rFonts w:ascii="Calibri" w:cs="Calibri" w:eastAsia="Calibri" w:hAnsi="Calibri"/>
          <w:b w:val="false"/>
          <w:bCs w:val="false"/>
          <w:i w:val="false"/>
          <w:iCs w:val="false"/>
          <w:sz w:val="21"/>
          <w:szCs w:val="21"/>
        </w:rPr>
        <w:t xml:space="preserve">Generative artificial intelligence was used in the preparation of this document as follows. [Tool and version] was used to [summarise the documents listed at paragraph X / analyse the data at annexure Y]. The output appears at [paragraphs / annexure]. It was reviewed and verified by [name] against the source documents. No other use was made of generative artificial intelligence in the preparation of this document.</w:t>
      </w:r>
    </w:p>
    <w:p>
      <w:pPr>
        <w:pStyle w:val="Heading2"/>
        <w:spacing w:after="100" w:before="240"/>
      </w:pPr>
      <w:r>
        <w:rPr>
          <w:rFonts w:ascii="Calibri" w:cs="Calibri" w:eastAsia="Calibri" w:hAnsi="Calibri"/>
          <w:b/>
          <w:bCs/>
          <w:i w:val="false"/>
          <w:iCs w:val="false"/>
          <w:color w:val="000000"/>
          <w:sz w:val="21"/>
          <w:szCs w:val="21"/>
        </w:rPr>
        <w:t xml:space="preserve">Response to a direction to identify portions and verification</w:t>
      </w:r>
    </w:p>
    <w:p>
      <w:pPr>
        <w:pBdr>
          <w:left w:val="single" w:color="404040" w:sz="12" w:space="12"/>
        </w:pBdr>
        <w:spacing w:after="200" w:before="80" w:line="240"/>
        <w:ind w:left="680" w:right="340"/>
        <w:jc w:val="both"/>
      </w:pPr>
      <w:r>
        <w:rPr>
          <w:rFonts w:ascii="Calibri" w:cs="Calibri" w:eastAsia="Calibri" w:hAnsi="Calibri"/>
          <w:b w:val="false"/>
          <w:bCs w:val="false"/>
          <w:i w:val="false"/>
          <w:iCs w:val="false"/>
          <w:sz w:val="21"/>
          <w:szCs w:val="21"/>
        </w:rPr>
        <w:t xml:space="preserve">The portions of [document] produced with the assistance of a generative artificial intelligence tool are [identify precisely]. The tool used was [name and version], accessed through [account]. Verification was carried out by me on [date] by reading each authority in [authorised reports] and each legislative provision on [authorised site], and by checking each reference to evidence against the affidavit or transcript in which it appears. No part of that verification was carried out using a generative artificial intelligence tool.</w:t>
      </w:r>
    </w:p>
    <w:p>
      <w:pPr>
        <w:pStyle w:val="Heading2"/>
        <w:spacing w:after="100" w:before="240"/>
      </w:pPr>
      <w:r>
        <w:rPr>
          <w:rFonts w:ascii="Calibri" w:cs="Calibri" w:eastAsia="Calibri" w:hAnsi="Calibri"/>
          <w:b/>
          <w:bCs/>
          <w:i w:val="false"/>
          <w:iCs w:val="false"/>
          <w:color w:val="000000"/>
          <w:sz w:val="21"/>
          <w:szCs w:val="21"/>
        </w:rPr>
        <w:t xml:space="preserve">Instruction to a reader or devilling barrister</w:t>
      </w:r>
    </w:p>
    <w:p>
      <w:pPr>
        <w:pBdr>
          <w:left w:val="single" w:color="404040" w:sz="12" w:space="12"/>
        </w:pBdr>
        <w:spacing w:after="200" w:before="80" w:line="240"/>
        <w:ind w:left="680" w:right="340"/>
        <w:jc w:val="both"/>
      </w:pPr>
      <w:r>
        <w:rPr>
          <w:rFonts w:ascii="Calibri" w:cs="Calibri" w:eastAsia="Calibri" w:hAnsi="Calibri"/>
          <w:b w:val="false"/>
          <w:bCs w:val="false"/>
          <w:i w:val="false"/>
          <w:iCs w:val="false"/>
          <w:sz w:val="21"/>
          <w:szCs w:val="21"/>
        </w:rPr>
        <w:t xml:space="preserve">In relation to this task: [a generative artificial intelligence tool may not be used at all / only the tool recorded at item X of my register may be used, and only for research and summarising]. This brief [does / does not] contain material subject to a suppression order, produced on subpoena or otherwise restricted. If you use a tool, tell me what you used, what you used it for, what it produced and how you verified it, before you deliver the work. The work will be delivered under my name and I am personally responsible for it.</w:t>
      </w:r>
    </w:p>
    <w:p>
      <w:pPr>
        <w:pStyle w:val="Heading2"/>
        <w:spacing w:after="100" w:before="240"/>
      </w:pPr>
      <w:r>
        <w:rPr>
          <w:rFonts w:ascii="Calibri" w:cs="Calibri" w:eastAsia="Calibri" w:hAnsi="Calibri"/>
          <w:b/>
          <w:bCs/>
          <w:i w:val="false"/>
          <w:iCs w:val="false"/>
          <w:color w:val="000000"/>
          <w:sz w:val="21"/>
          <w:szCs w:val="21"/>
        </w:rPr>
        <w:t xml:space="preserve">Consent to recording a conference</w:t>
      </w:r>
    </w:p>
    <w:p>
      <w:pPr>
        <w:pBdr>
          <w:left w:val="single" w:color="404040" w:sz="12" w:space="12"/>
        </w:pBdr>
        <w:spacing w:after="200" w:before="80" w:line="240"/>
        <w:ind w:left="680" w:right="340"/>
        <w:jc w:val="both"/>
      </w:pPr>
      <w:r>
        <w:rPr>
          <w:rFonts w:ascii="Calibri" w:cs="Calibri" w:eastAsia="Calibri" w:hAnsi="Calibri"/>
          <w:b w:val="false"/>
          <w:bCs w:val="false"/>
          <w:i w:val="false"/>
          <w:iCs w:val="false"/>
          <w:sz w:val="21"/>
          <w:szCs w:val="21"/>
        </w:rPr>
        <w:t xml:space="preserve">Before we start, I want to let you know that I am using a tool that records and transcribes this conference so that I have an accurate note of it. The recording and the transcript go on the brief and are treated as confidential in the same way as everything else on it. Are you content for me to record on that basis? [Record the answer.] Thank you. I am starting the recording now.</w:t>
      </w:r>
    </w:p>
    <w:p>
      <w:r>
        <w:br w:type="page"/>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Schedule 4  Restricted information approval</w:t>
      </w:r>
    </w:p>
    <w:p>
      <w:pPr>
        <w:spacing w:after="200" w:line="240"/>
        <w:ind w:left="340" w:right="340"/>
        <w:jc w:val="both"/>
      </w:pPr>
      <w:r>
        <w:rPr>
          <w:rFonts w:ascii="Calibri" w:cs="Calibri" w:eastAsia="Calibri" w:hAnsi="Calibri"/>
          <w:b w:val="false"/>
          <w:bCs w:val="false"/>
          <w:i/>
          <w:iCs/>
          <w:color w:val="595959"/>
          <w:sz w:val="19"/>
          <w:szCs w:val="19"/>
        </w:rPr>
        <w:t xml:space="preserve">To be completed by the briefed barrister before restricted information is used with any tool, and kept on the brief. It cannot be completed by anyone else.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Item</w:t>
            </w:r>
          </w:p>
        </w:tc>
        <w:tc>
          <w:tcPr>
            <w:tcW w:type="dxa" w:w="62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Detail</w:t>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Matter and proceeding number</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Category of restricted information</w:t>
            </w:r>
          </w:p>
          <w:p>
            <w:pPr>
              <w:spacing w:after="0" w:line="240"/>
            </w:pPr>
            <w:r>
              <w:rPr>
                <w:rFonts w:ascii="Calibri" w:cs="Calibri" w:eastAsia="Calibri" w:hAnsi="Calibri"/>
                <w:b w:val="false"/>
                <w:bCs w:val="false"/>
                <w:i w:val="false"/>
                <w:iCs w:val="false"/>
                <w:sz w:val="19"/>
                <w:szCs w:val="19"/>
              </w:rPr>
              <w:t xml:space="preserve">(clause 10.2(a) to (f))</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Description of the material</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Tool and version proposed</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Purpose, confined to this proceeding</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Basis for satisfaction: information remains in the controlled</w:t>
            </w:r>
          </w:p>
          <w:p>
            <w:pPr>
              <w:spacing w:after="0" w:line="240"/>
            </w:pPr>
            <w:r>
              <w:rPr>
                <w:rFonts w:ascii="Calibri" w:cs="Calibri" w:eastAsia="Calibri" w:hAnsi="Calibri"/>
                <w:b w:val="false"/>
                <w:bCs w:val="false"/>
                <w:i w:val="false"/>
                <w:iCs w:val="false"/>
                <w:sz w:val="19"/>
                <w:szCs w:val="19"/>
              </w:rPr>
              <w:t xml:space="preserve">environment, and the supplier is bound by confidentiality restrictions</w:t>
            </w:r>
          </w:p>
          <w:p>
            <w:pPr>
              <w:spacing w:after="0" w:line="240"/>
            </w:pPr>
            <w:r>
              <w:rPr>
                <w:rFonts w:ascii="Calibri" w:cs="Calibri" w:eastAsia="Calibri" w:hAnsi="Calibri"/>
                <w:b w:val="false"/>
                <w:bCs w:val="false"/>
                <w:i w:val="false"/>
                <w:iCs w:val="false"/>
                <w:sz w:val="19"/>
                <w:szCs w:val="19"/>
              </w:rPr>
              <w:t xml:space="preserve">so the data is neither made public nor used to train any model</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Basis for satisfaction: use confined to this proceeding</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Basis for satisfaction: not used to train the tool or any model</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Consent under clause 9 recorded, and its terms</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Briefed barrister and date</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bl>
    <w:p>
      <w:r>
        <w:br w:type="page"/>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Schedule 5  Instruments and guidance</w:t>
      </w:r>
    </w:p>
    <w:p>
      <w:pPr>
        <w:spacing w:after="200" w:line="240"/>
        <w:ind w:left="340" w:right="340"/>
        <w:jc w:val="both"/>
      </w:pPr>
      <w:r>
        <w:rPr>
          <w:rFonts w:ascii="Calibri" w:cs="Calibri" w:eastAsia="Calibri" w:hAnsi="Calibri"/>
          <w:b w:val="false"/>
          <w:bCs w:val="false"/>
          <w:i/>
          <w:iCs/>
          <w:color w:val="595959"/>
          <w:sz w:val="19"/>
          <w:szCs w:val="19"/>
        </w:rPr>
        <w:t xml:space="preserve">To be completed with the instruments in force in each jurisdiction in which the barrister appears, and checked at each review. The entries below were current when this template was prepared and must be verified before adoption. A practice note binds the barrister directly and is not mediated by the instructing solicitor.</w:t>
      </w:r>
    </w:p>
    <w:p>
      <w:pPr>
        <w:spacing w:after="200" w:line="240"/>
        <w:ind w:left="340" w:right="340"/>
        <w:jc w:val="both"/>
      </w:pPr>
      <w:r>
        <w:rPr>
          <w:rFonts w:ascii="Calibri" w:cs="Calibri" w:eastAsia="Calibri" w:hAnsi="Calibri"/>
          <w:b w:val="0"/>
          <w:bCs w:val="false"/>
          <w:i w:val="0"/>
          <w:iCs/>
          <w:color w:val="595959"/>
          <w:sz w:val="19"/>
          <w:szCs w:val="19"/>
        </w:rPr>
        <w:t>An instrument is only as current as the date it was last checked. Each row carries that date and the person who checked it, and a row without one is to be treated as unverified. These instruments are amended, and several already have been, so a paragraph number relied on elsewhere may move.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900"/>
        <w:gridCol w:w="4700"/>
        <w:gridCol w:w="2200"/>
        <w:gridCol w:w="1900"/>
      </w:tblGrid>
      <w:tr>
        <w:trPr>
          <w:tblHeader/>
        </w:trPr>
        <w:tc>
          <w:tcPr>
            <w:tcW w:type="dxa" w:w="19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Court or body</w:t>
            </w:r>
          </w:p>
        </w:tc>
        <w:tc>
          <w:tcPr>
            <w:tcW w:type="dxa" w:w="47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Instrument</w:t>
            </w:r>
          </w:p>
        </w:tc>
        <w:tc>
          <w:tcPr>
            <w:tcW w:type="dxa" w:w="22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Date</w:t>
            </w:r>
          </w:p>
        </w:tc>
        <w:tc>
          <w:tcPr>
            <w:tcW w:type="dxa" w:w="1900"/>
          </w:tcPr>
          <w:p>
            <w:r>
              <w:t>Source, and date last checked</w:t>
            </w:r>
          </w:p>
        </w:tc>
      </w:tr>
      <w:tr>
        <w:trPr>
          <w:tblHeader w:val="false"/>
        </w:trP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Supreme Court of</w:t>
            </w:r>
          </w:p>
          <w:p>
            <w:pPr>
              <w:spacing w:after="0" w:line="240"/>
            </w:pPr>
            <w:r>
              <w:rPr>
                <w:rFonts w:ascii="Calibri" w:cs="Calibri" w:eastAsia="Calibri" w:hAnsi="Calibri"/>
                <w:b w:val="false"/>
                <w:bCs w:val="false"/>
                <w:i w:val="false"/>
                <w:iCs w:val="false"/>
                <w:sz w:val="19"/>
                <w:szCs w:val="19"/>
              </w:rPr>
              <w:t xml:space="preserve">New South Wales</w:t>
            </w:r>
          </w:p>
        </w:tc>
        <w:tc>
          <w:tcPr>
            <w:tcW w:type="dxa" w:w="4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Practice Note SC Gen 23, Use of Generative Artificial Intelligence (Gen AI). Adopted in the District Court, Local Court and Land and Environment Court, and applied in substance by NCAT. Paragraph 9A sets the conditions for compelled material; paragraph 13 requires the affidavit disclosure; paragraphs 16 to 18 govern submissions; paragraphs 19 to 25 govern expert reports.</w:t>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Issued 28 January 2025, commenced 3 February 2025</w:t>
            </w:r>
          </w:p>
        </w:tc>
        <w:tc>
          <w:tcPr>
            <w:tcW w:type="dxa" w:w="1900"/>
          </w:tcPr>
          <w:p>
            <w:r>
              <w:t>[URL to be recorded]</w:t>
              <w:br/>
              <w:t>Checked [date] by [name]</w:t>
            </w:r>
          </w:p>
        </w:tc>
      </w:tr>
      <w:tr>
        <w:trPr>
          <w:tblHeader w:val="false"/>
        </w:trP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Courts of New South Wales</w:t>
            </w:r>
          </w:p>
        </w:tc>
        <w:tc>
          <w:tcPr>
            <w:tcW w:type="dxa" w:w="4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Guidelines for New South Wales Judges in respect of use of Generative AI. A judge may require disclosure of any use in written submissions or other documents, and an assurance identifying the verification process followed.</w:t>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Issued 21 November 2024</w:t>
            </w:r>
          </w:p>
        </w:tc>
        <w:tc>
          <w:tcPr>
            <w:tcW w:type="dxa" w:w="1900"/>
          </w:tcPr>
          <w:p>
            <w:r>
              <w:t>[URL to be recorded]</w:t>
              <w:br/>
              <w:t>Checked [date] by [name]</w:t>
            </w:r>
          </w:p>
        </w:tc>
      </w:tr>
      <w:tr>
        <w:trPr>
          <w:tblHeader w:val="false"/>
        </w:trP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Federal Court of Australia</w:t>
            </w:r>
          </w:p>
        </w:tc>
        <w:tc>
          <w:tcPr>
            <w:tcW w:type="dxa" w:w="4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Use of Generative Artificial Intelligence Practice Note (GPN-AI), read with the Central Practice Note and the Expert Evidence Practice Note. Applies to all persons who appear before or file documents with the Court.</w:t>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Issued 16 April 2026</w:t>
            </w:r>
          </w:p>
        </w:tc>
        <w:tc>
          <w:tcPr>
            <w:tcW w:type="dxa" w:w="1900"/>
          </w:tcPr>
          <w:p>
            <w:r>
              <w:t>fedcourt.gov.au/law-and-practice/practice-documents/practice-notes/gpn-ai</w:t>
              <w:br/>
              <w:t>Checked [date] by [name]</w:t>
            </w:r>
          </w:p>
        </w:tc>
      </w:tr>
      <w:tr>
        <w:trPr>
          <w:tblHeader w:val="false"/>
        </w:trP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Federal Circuit and Family</w:t>
            </w:r>
          </w:p>
          <w:p>
            <w:pPr>
              <w:spacing w:after="0" w:line="240"/>
            </w:pPr>
            <w:r>
              <w:rPr>
                <w:rFonts w:ascii="Calibri" w:cs="Calibri" w:eastAsia="Calibri" w:hAnsi="Calibri"/>
                <w:b w:val="false"/>
                <w:bCs w:val="false"/>
                <w:i w:val="false"/>
                <w:iCs w:val="false"/>
                <w:sz w:val="19"/>
                <w:szCs w:val="19"/>
              </w:rPr>
              <w:t xml:space="preserve">Court of Australia</w:t>
            </w:r>
          </w:p>
        </w:tc>
        <w:tc>
          <w:tcPr>
            <w:tcW w:type="dxa" w:w="4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Practice Direction, Use of Artificial Intelligence. Applies to all proceedings and all court users, including lawyers and experts.</w:t>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Issued 29 May 2026</w:t>
            </w:r>
          </w:p>
        </w:tc>
        <w:tc>
          <w:tcPr>
            <w:tcW w:type="dxa" w:w="1900"/>
          </w:tcPr>
          <w:p>
            <w:r>
              <w:t>[URL to be recorded]</w:t>
              <w:br/>
              <w:t>Checked [date] by [name]</w:t>
            </w:r>
          </w:p>
        </w:tc>
      </w:tr>
      <w:tr>
        <w:trPr>
          <w:tblHeader w:val="false"/>
        </w:trP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Supreme Court of Victoria</w:t>
            </w:r>
          </w:p>
        </w:tc>
        <w:tc>
          <w:tcPr>
            <w:tcW w:type="dxa" w:w="4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Practice Note SC Gen 25, The Use of Artificial Intelligence by Court Users. Court user includes lawyers and expert witnesses. Requires verification with meaningful human control, and that a court user be able to identify the portions of a document produced using AI and explain how the output was verified.</w:t>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Issued and commenced 14 May 2026</w:t>
            </w:r>
          </w:p>
        </w:tc>
        <w:tc>
          <w:tcPr>
            <w:tcW w:type="dxa" w:w="1900"/>
          </w:tcPr>
          <w:p>
            <w:r>
              <w:t>supremecourt.vic.gov.au/areas/legal-resources/practice-notes</w:t>
              <w:br/>
              <w:t>Checked [date] by [name]</w:t>
            </w:r>
          </w:p>
        </w:tc>
      </w:tr>
      <w:tr>
        <w:trPr>
          <w:tblHeader w:val="false"/>
        </w:trP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NSW Bar Association</w:t>
            </w:r>
          </w:p>
        </w:tc>
        <w:tc>
          <w:tcPr>
            <w:tcW w:type="dxa" w:w="4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Issues Arising from the Use of AI Language Models (including ChatGPT) in Legal Practice. Approved by Bar Council 22 June 2023. May be considered by Bar Council in relation to a complaint.</w:t>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Published 12 July 2023</w:t>
            </w:r>
          </w:p>
        </w:tc>
        <w:tc>
          <w:tcPr>
            <w:tcW w:type="dxa" w:w="1900"/>
          </w:tcPr>
          <w:p>
            <w:r>
              <w:t>[URL to be recorded]</w:t>
              <w:br/>
              <w:t>Checked [date] by [name]</w:t>
            </w:r>
          </w:p>
        </w:tc>
      </w:tr>
      <w:tr>
        <w:trPr>
          <w:tblHeader w:val="false"/>
        </w:trP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[Other jurisdictions]</w:t>
            </w:r>
          </w:p>
        </w:tc>
        <w:tc>
          <w:tcPr>
            <w:tcW w:type="dxa" w:w="4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[To be completed]</w:t>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c>
          <w:tcPr>
            <w:tcW w:type="dxa" w:w="1900"/>
          </w:tcPr>
          <w:p>
            <w:r>
              <w:t>[URL to be recorded]</w:t>
              <w:br/>
              <w:t>Checked [date] by [name]</w:t>
            </w:r>
          </w:p>
        </w:tc>
      </w:tr>
    </w:tbl>
    <w:p>
      <w:pPr>
        <w:spacing w:after="160" w:line="240"/>
        <w:ind w:left="680"/>
        <w:jc w:val="both"/>
      </w:pPr>
      <w:r>
        <w:rPr>
          <w:rFonts w:ascii="Calibri" w:cs="Calibri" w:eastAsia="Calibri" w:hAnsi="Calibri"/>
          <w:b w:val="false"/>
          <w:bCs w:val="false"/>
          <w:i w:val="false"/>
          <w:iCs w:val="false"/>
          <w:sz w:val="21"/>
          <w:szCs w:val="21"/>
        </w:rPr>
        <w:t xml:space="preserve">The barrister must also consult the guidance of their own Bar Association, and where they practise in more than one jurisdiction, of each. In New South Wales that includes the Bar Association's guidance on the issues arising from the use of AI language models in legal practice, which was published on 12 July 2023 and therefore predates every court instrument listed above and every model now in use. It should be read with them, and its statements about particular products should be checked before they are relied on.</w:t>
      </w:r>
    </w:p>
    <w:p>
      <w:r>
        <w:br w:type="page"/>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Schedule 6  Suitability path</w:t>
      </w:r>
    </w:p>
    <w:p>
      <w:pPr>
        <w:spacing w:after="200" w:line="240"/>
        <w:ind w:left="340" w:right="340"/>
        <w:jc w:val="both"/>
      </w:pPr>
      <w:r>
        <w:rPr>
          <w:rFonts w:ascii="Calibri" w:cs="Calibri" w:eastAsia="Calibri" w:hAnsi="Calibri"/>
          <w:b w:val="false"/>
          <w:bCs w:val="false"/>
          <w:i/>
          <w:iCs/>
          <w:color w:val="595959"/>
          <w:sz w:val="19"/>
          <w:szCs w:val="19"/>
        </w:rPr>
        <w:t xml:space="preserve">To be worked through before a tool is used on a task. Where the answer at a step is no, do not proceed until the action in the right-hand column has been taken.</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700"/>
        <w:gridCol w:w="5400"/>
        <w:gridCol w:w="2700"/>
      </w:tblGrid>
      <w:tr>
        <w:trPr>
          <w:tblHeader/>
        </w:trPr>
        <w:tc>
          <w:tcPr>
            <w:tcW w:type="dxa" w:w="7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
            </w:r>
          </w:p>
        </w:tc>
        <w:tc>
          <w:tcPr>
            <w:tcW w:type="dxa" w:w="54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Question</w:t>
            </w:r>
          </w:p>
        </w:tc>
        <w:tc>
          <w:tcPr>
            <w:tcW w:type="dxa" w:w="27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If no</w:t>
            </w:r>
          </w:p>
        </w:tc>
      </w:tr>
      <w:tr>
        <w:trPr>
          <w:tblHeader w:val="false"/>
        </w:trPr>
        <w:tc>
          <w:tcPr>
            <w:tcW w:type="dxa" w:w="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1</w:t>
            </w:r>
          </w:p>
        </w:tc>
        <w:tc>
          <w:tcPr>
            <w:tcW w:type="dxa" w:w="54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Is the task within the permitted uses recorded for a tool in Schedule 1?</w:t>
            </w:r>
          </w:p>
        </w:tc>
        <w:tc>
          <w:tcPr>
            <w:tcW w:type="dxa" w:w="2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Do not use. Assess the tool under clause 7.4 first.</w:t>
            </w:r>
          </w:p>
        </w:tc>
      </w:tr>
      <w:tr>
        <w:trPr>
          <w:tblHeader w:val="false"/>
        </w:trPr>
        <w:tc>
          <w:tcPr>
            <w:tcW w:type="dxa" w:w="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2</w:t>
            </w:r>
          </w:p>
        </w:tc>
        <w:tc>
          <w:tcPr>
            <w:tcW w:type="dxa" w:w="54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Has the consent required by clause 9 been obtained and recorded for this brief?</w:t>
            </w:r>
          </w:p>
        </w:tc>
        <w:tc>
          <w:tcPr>
            <w:tcW w:type="dxa" w:w="2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Do not use. Clause 9.4 and 9.5.</w:t>
            </w:r>
          </w:p>
        </w:tc>
      </w:tr>
      <w:tr>
        <w:trPr>
          <w:tblHeader w:val="false"/>
        </w:trPr>
        <w:tc>
          <w:tcPr>
            <w:tcW w:type="dxa" w:w="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3</w:t>
            </w:r>
          </w:p>
        </w:tc>
        <w:tc>
          <w:tcPr>
            <w:tcW w:type="dxa" w:w="54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Is the task one of drafting, summarising, extracting, rewriting or researching, which if done by hand would be repetitive or formulaic?</w:t>
            </w:r>
          </w:p>
        </w:tc>
        <w:tc>
          <w:tcPr>
            <w:tcW w:type="dxa" w:w="2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A tool is unlikely to be suitable. Consider clause 6.3 and 6.4.</w:t>
            </w:r>
          </w:p>
        </w:tc>
      </w:tr>
      <w:tr>
        <w:trPr>
          <w:tblHeader w:val="false"/>
        </w:trPr>
        <w:tc>
          <w:tcPr>
            <w:tcW w:type="dxa" w:w="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4</w:t>
            </w:r>
          </w:p>
        </w:tc>
        <w:tc>
          <w:tcPr>
            <w:tcW w:type="dxa" w:w="54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Is the output something other than the content of a witness's evidence or an expert's opinion?</w:t>
            </w:r>
          </w:p>
        </w:tc>
        <w:tc>
          <w:tcPr>
            <w:tcW w:type="dxa" w:w="2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Prohibited. Clause 8.1(c) and (d).</w:t>
            </w:r>
          </w:p>
        </w:tc>
      </w:tr>
      <w:tr>
        <w:trPr>
          <w:tblHeader w:val="false"/>
        </w:trPr>
        <w:tc>
          <w:tcPr>
            <w:tcW w:type="dxa" w:w="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5</w:t>
            </w:r>
          </w:p>
        </w:tc>
        <w:tc>
          <w:tcPr>
            <w:tcW w:type="dxa" w:w="54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If restricted information is involved, have you personally completed the approval under clause 10.3?</w:t>
            </w:r>
          </w:p>
        </w:tc>
        <w:tc>
          <w:tcPr>
            <w:tcW w:type="dxa" w:w="2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Do not use until you have done so. It cannot be done by anyone else.</w:t>
            </w:r>
          </w:p>
        </w:tc>
      </w:tr>
      <w:tr>
        <w:trPr>
          <w:tblHeader w:val="false"/>
        </w:trPr>
        <w:tc>
          <w:tcPr>
            <w:tcW w:type="dxa" w:w="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6</w:t>
            </w:r>
          </w:p>
        </w:tc>
        <w:tc>
          <w:tcPr>
            <w:tcW w:type="dxa" w:w="54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Will you be able to satisfy each limb of clause 5.1, including explaining and supporting the work without the tool?</w:t>
            </w:r>
          </w:p>
        </w:tc>
        <w:tc>
          <w:tcPr>
            <w:tcW w:type="dxa" w:w="2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Do not use. Clause 5.2.</w:t>
            </w:r>
          </w:p>
        </w:tc>
      </w:tr>
      <w:tr>
        <w:trPr>
          <w:tblHeader w:val="false"/>
        </w:trPr>
        <w:tc>
          <w:tcPr>
            <w:tcW w:type="dxa" w:w="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7</w:t>
            </w:r>
          </w:p>
        </w:tc>
        <w:tc>
          <w:tcPr>
            <w:tcW w:type="dxa" w:w="54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Will the use reduce, or at least not increase, the cost to the client?</w:t>
            </w:r>
          </w:p>
        </w:tc>
        <w:tc>
          <w:tcPr>
            <w:tcW w:type="dxa" w:w="2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Reconsider. Clause 15.2.</w:t>
            </w:r>
          </w:p>
        </w:tc>
      </w:tr>
    </w:tbl>
    <w:p>
      <w:pPr>
        <w:spacing w:after="160" w:line="240"/>
        <w:ind w:left="680"/>
        <w:jc w:val="both"/>
      </w:pPr>
      <w:r>
        <w:rPr>
          <w:rFonts w:ascii="Calibri" w:cs="Calibri" w:eastAsia="Calibri" w:hAnsi="Calibri"/>
          <w:b w:val="false"/>
          <w:bCs w:val="false"/>
          <w:i w:val="false"/>
          <w:iCs w:val="false"/>
          <w:sz w:val="21"/>
          <w:szCs w:val="21"/>
        </w:rPr>
        <w:t xml:space="preserve">Questions 1, 2, 4, 5 and 6 are absolute. Questions 3 and 7 require a judgment to be made and recorded before the task proceeds.</w:t>
      </w:r>
    </w:p>
    <w:p>
      <w:r>
        <w:br w:type="page"/>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Schedule 7  Indicators of unverified use</w:t>
      </w:r>
    </w:p>
    <w:p>
      <w:pPr>
        <w:spacing w:after="200" w:line="240"/>
        <w:ind w:left="340" w:right="340"/>
        <w:jc w:val="both"/>
      </w:pPr>
      <w:r>
        <w:rPr>
          <w:rFonts w:ascii="Calibri" w:cs="Calibri" w:eastAsia="Calibri" w:hAnsi="Calibri"/>
          <w:b w:val="false"/>
          <w:bCs w:val="false"/>
          <w:i/>
          <w:iCs/>
          <w:color w:val="595959"/>
          <w:sz w:val="19"/>
          <w:szCs w:val="19"/>
        </w:rPr>
        <w:t xml:space="preserve">A barrister reviewing devilled work, a reader's work, or work received from an instructing solicitor should treat any of these as a reason for further inquiry.</w:t>
      </w:r>
    </w:p>
    <w:p>
      <w:pPr>
        <w:spacing w:after="160" w:line="240"/>
        <w:ind w:left="680"/>
        <w:jc w:val="both"/>
      </w:pPr>
      <w:r>
        <w:rPr>
          <w:rFonts w:ascii="Calibri" w:cs="Calibri" w:eastAsia="Calibri" w:hAnsi="Calibri"/>
          <w:b w:val="false"/>
          <w:bCs w:val="false"/>
          <w:i w:val="false"/>
          <w:iCs w:val="false"/>
          <w:sz w:val="21"/>
          <w:szCs w:val="21"/>
        </w:rPr>
        <w:t xml:space="preserve">A citation that cannot be found, or that does not match the parties, court or year given for it.</w:t>
      </w:r>
    </w:p>
    <w:p>
      <w:pPr>
        <w:spacing w:after="160" w:line="240"/>
        <w:ind w:left="680"/>
        <w:jc w:val="both"/>
      </w:pPr>
      <w:r>
        <w:rPr>
          <w:rFonts w:ascii="Calibri" w:cs="Calibri" w:eastAsia="Calibri" w:hAnsi="Calibri"/>
          <w:b w:val="false"/>
          <w:bCs w:val="false"/>
          <w:i w:val="false"/>
          <w:iCs w:val="false"/>
          <w:sz w:val="21"/>
          <w:szCs w:val="21"/>
        </w:rPr>
        <w:t xml:space="preserve">An analysis of the law that is out of date, incomplete, or does not account for a recent development.</w:t>
      </w:r>
    </w:p>
    <w:p>
      <w:pPr>
        <w:spacing w:after="160" w:line="240"/>
        <w:ind w:left="680"/>
        <w:jc w:val="both"/>
      </w:pPr>
      <w:r>
        <w:rPr>
          <w:rFonts w:ascii="Calibri" w:cs="Calibri" w:eastAsia="Calibri" w:hAnsi="Calibri"/>
          <w:b w:val="false"/>
          <w:bCs w:val="false"/>
          <w:i w:val="false"/>
          <w:iCs w:val="false"/>
          <w:sz w:val="21"/>
          <w:szCs w:val="21"/>
        </w:rPr>
        <w:t xml:space="preserve">Authority drawn from another jurisdiction and applied without adjustment for substantive or procedural differences.</w:t>
      </w:r>
    </w:p>
    <w:p>
      <w:pPr>
        <w:spacing w:after="160" w:line="240"/>
        <w:ind w:left="680"/>
        <w:jc w:val="both"/>
      </w:pPr>
      <w:r>
        <w:rPr>
          <w:rFonts w:ascii="Calibri" w:cs="Calibri" w:eastAsia="Calibri" w:hAnsi="Calibri"/>
          <w:b w:val="false"/>
          <w:bCs w:val="false"/>
          <w:i w:val="false"/>
          <w:iCs w:val="false"/>
          <w:sz w:val="21"/>
          <w:szCs w:val="21"/>
        </w:rPr>
        <w:t xml:space="preserve">Reasoning that supports the client's case at every step, with no adverse authority identified anywhere.</w:t>
      </w:r>
    </w:p>
    <w:p>
      <w:pPr>
        <w:spacing w:after="160" w:line="240"/>
        <w:ind w:left="680"/>
        <w:jc w:val="both"/>
      </w:pPr>
      <w:r>
        <w:rPr>
          <w:rFonts w:ascii="Calibri" w:cs="Calibri" w:eastAsia="Calibri" w:hAnsi="Calibri"/>
          <w:b w:val="false"/>
          <w:bCs w:val="false"/>
          <w:i w:val="false"/>
          <w:iCs w:val="false"/>
          <w:sz w:val="21"/>
          <w:szCs w:val="21"/>
        </w:rPr>
        <w:t xml:space="preserve">A submission that diverges from the reader's understanding of the applicable law, or contains an obvious substantive error.</w:t>
      </w:r>
    </w:p>
    <w:p>
      <w:pPr>
        <w:spacing w:after="160" w:line="240"/>
        <w:ind w:left="680"/>
        <w:jc w:val="both"/>
      </w:pPr>
      <w:r>
        <w:rPr>
          <w:rFonts w:ascii="Calibri" w:cs="Calibri" w:eastAsia="Calibri" w:hAnsi="Calibri"/>
          <w:b w:val="false"/>
          <w:bCs w:val="false"/>
          <w:i w:val="false"/>
          <w:iCs w:val="false"/>
          <w:sz w:val="21"/>
          <w:szCs w:val="21"/>
        </w:rPr>
        <w:t xml:space="preserve">Non-specific or repetitive language, or a document that reads as though it could apply to any case.</w:t>
      </w:r>
    </w:p>
    <w:p>
      <w:pPr>
        <w:spacing w:after="160" w:line="240"/>
        <w:ind w:left="680"/>
        <w:jc w:val="both"/>
      </w:pPr>
      <w:r>
        <w:rPr>
          <w:rFonts w:ascii="Calibri" w:cs="Calibri" w:eastAsia="Calibri" w:hAnsi="Calibri"/>
          <w:b w:val="false"/>
          <w:bCs w:val="false"/>
          <w:i w:val="false"/>
          <w:iCs w:val="false"/>
          <w:sz w:val="21"/>
          <w:szCs w:val="21"/>
        </w:rPr>
        <w:t xml:space="preserve">Expressions or spellings associated with another jurisdiction.</w:t>
      </w:r>
    </w:p>
    <w:p>
      <w:pPr>
        <w:spacing w:after="160" w:line="240"/>
        <w:ind w:left="680"/>
        <w:jc w:val="both"/>
      </w:pPr>
      <w:r>
        <w:rPr>
          <w:rFonts w:ascii="Calibri" w:cs="Calibri" w:eastAsia="Calibri" w:hAnsi="Calibri"/>
          <w:b w:val="false"/>
          <w:bCs w:val="false"/>
          <w:i w:val="false"/>
          <w:iCs w:val="false"/>
          <w:sz w:val="21"/>
          <w:szCs w:val="21"/>
        </w:rPr>
        <w:t xml:space="preserve">A quotation that is fluent and apt but cannot be located in the source given for it.</w:t>
      </w:r>
    </w:p>
    <w:p>
      <w:r>
        <w:br w:type="page"/>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Schedule 8  Application settings</w:t>
      </w:r>
    </w:p>
    <w:p>
      <w:pPr>
        <w:spacing w:after="200" w:line="240"/>
        <w:ind w:left="340" w:right="340"/>
        <w:jc w:val="both"/>
      </w:pPr>
      <w:r>
        <w:rPr>
          <w:rFonts w:ascii="Calibri" w:cs="Calibri" w:eastAsia="Calibri" w:hAnsi="Calibri"/>
          <w:b w:val="false"/>
          <w:bCs w:val="false"/>
          <w:i/>
          <w:iCs/>
          <w:color w:val="595959"/>
          <w:sz w:val="19"/>
          <w:szCs w:val="19"/>
        </w:rPr>
        <w:t xml:space="preserve">Maintained under clause 7 and reviewed at least annually. An application not listed is not approved. Every claim about training, retention and data location must be traceable to the assessment kept with Schedule 1, and not to a supplier's marketing material.</w:t>
      </w:r>
    </w:p>
    <w:p>
      <w:pPr>
        <w:spacing w:after="200" w:line="240"/>
        <w:ind w:left="340" w:right="340"/>
        <w:jc w:val="both"/>
      </w:pPr>
      <w:r>
        <w:rPr>
          <w:rFonts w:ascii="Calibri" w:cs="Calibri" w:eastAsia="Calibri" w:hAnsi="Calibri"/>
          <w:b w:val="0"/>
          <w:bCs w:val="false"/>
          <w:i w:val="0"/>
          <w:iCs/>
          <w:color w:val="595959"/>
          <w:sz w:val="19"/>
          <w:szCs w:val="19"/>
        </w:rPr>
        <w:t>Three kinds of statement appear here and must not be read alike. A supplier fact is something the supplier states and the assessment records, such as a retention period or a processing location; it is verified against the executed agreement rather than marketing material, and it changes when the contract changes. A deployment fact is something true of these particular arrangements, such as the tier held or the region configured, and every one of them must be replaced on adoption. A conclusion is a view taken of what the instruments require, and carries the date it was approved and by whom. Where an entry mixes them, the supplier fact is the part that must be traceable to the evidence held for the tool.</w:t>
      </w:r>
    </w:p>
    <w:p>
      <w:pPr>
        <w:pStyle w:val="Heading2"/>
        <w:spacing w:after="100" w:before="240"/>
      </w:pPr>
      <w:r>
        <w:rPr>
          <w:rFonts w:ascii="Calibri" w:cs="Calibri" w:eastAsia="Calibri" w:hAnsi="Calibri"/>
          <w:b/>
          <w:bCs/>
          <w:i w:val="false"/>
          <w:iCs w:val="false"/>
          <w:color w:val="000000"/>
          <w:sz w:val="21"/>
          <w:szCs w:val="21"/>
        </w:rPr>
        <w:t xml:space="preserve">Part A  Approved for brief material</w:t>
      </w:r>
    </w:p>
    <w:p>
      <w:pPr>
        <w:spacing w:after="200" w:line="240"/>
        <w:ind w:left="340" w:right="340"/>
        <w:jc w:val="both"/>
      </w:pPr>
      <w:r>
        <w:rPr>
          <w:rFonts w:ascii="Calibri" w:cs="Calibri" w:eastAsia="Calibri" w:hAnsi="Calibri"/>
          <w:b w:val="false"/>
          <w:bCs w:val="false"/>
          <w:i/>
          <w:iCs/>
          <w:color w:val="595959"/>
          <w:sz w:val="19"/>
          <w:szCs w:val="19"/>
        </w:rPr>
        <w:t xml:space="preserve">These may be used on brief material subject to the settings recorded and to the consent required by clause 9. Approval for restricted information under clause 10 is stated separately.</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3450"/>
        <w:gridCol w:w="2050"/>
      </w:tblGrid>
      <w:tr>
        <w:trPr>
          <w:tblHeader/>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Application</w:t>
            </w:r>
          </w:p>
        </w:tc>
        <w:tc>
          <w:tcPr>
            <w:tcW w:type="dxa" w:w="16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Account required</w:t>
            </w:r>
          </w:p>
        </w:tc>
        <w:tc>
          <w:tcPr>
            <w:tcW w:type="dxa" w:w="345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Settings and prerequisites</w:t>
            </w:r>
          </w:p>
        </w:tc>
        <w:tc>
          <w:tcPr>
            <w:tcW w:type="dxa" w:w="205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Restricted information</w:t>
            </w:r>
          </w:p>
        </w:tc>
      </w:tr>
      <w:tr>
        <w:trPr>
          <w:tblHeader w:val="false"/>
        </w:trPr>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Legal research platform</w:t>
            </w:r>
          </w:p>
          <w:p>
            <w:pPr>
              <w:spacing w:after="0" w:line="240"/>
            </w:pPr>
            <w:r>
              <w:rPr>
                <w:rFonts w:ascii="Calibri" w:cs="Calibri" w:eastAsia="Calibri" w:hAnsi="Calibri"/>
                <w:b w:val="false"/>
                <w:bCs w:val="false"/>
                <w:i w:val="false"/>
                <w:iCs w:val="false"/>
                <w:sz w:val="19"/>
                <w:szCs w:val="19"/>
              </w:rPr>
              <w:t xml:space="preserve">with AI answers</w:t>
            </w:r>
          </w:p>
        </w:tc>
        <w:tc>
          <w:tcPr>
            <w:tcW w:type="dxa" w:w="1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Subscription in the</w:t>
            </w:r>
          </w:p>
          <w:p>
            <w:pPr>
              <w:spacing w:after="0" w:line="240"/>
            </w:pPr>
            <w:r>
              <w:rPr>
                <w:rFonts w:ascii="Calibri" w:cs="Calibri" w:eastAsia="Calibri" w:hAnsi="Calibri"/>
                <w:b w:val="false"/>
                <w:bCs w:val="false"/>
                <w:i w:val="false"/>
                <w:iCs w:val="false"/>
                <w:sz w:val="19"/>
                <w:szCs w:val="19"/>
              </w:rPr>
              <w:t xml:space="preserve">barrister's own name</w:t>
            </w:r>
          </w:p>
        </w:tc>
        <w:tc>
          <w:tcPr>
            <w:tcW w:type="dxa" w:w="345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Written confirmation that prompts and output are not used for training, that model calls use zero-retention interfaces, and where data is processed. Retention set to the shortest available. Terms of service recorded and dated.</w:t>
            </w:r>
          </w:p>
        </w:tc>
        <w:tc>
          <w:tcPr>
            <w:tcW w:type="dxa" w:w="205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Permitted where the matters in clause 10.3 are established by the contract and the judgment is recorded.</w:t>
            </w:r>
          </w:p>
        </w:tc>
      </w:tr>
      <w:tr>
        <w:trPr>
          <w:tblHeader w:val="false"/>
        </w:trPr>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General assistant,</w:t>
            </w:r>
          </w:p>
          <w:p>
            <w:pPr>
              <w:spacing w:after="0" w:line="240"/>
            </w:pPr>
            <w:r>
              <w:rPr>
                <w:rFonts w:ascii="Calibri" w:cs="Calibri" w:eastAsia="Calibri" w:hAnsi="Calibri"/>
                <w:b w:val="false"/>
                <w:bCs w:val="false"/>
                <w:i w:val="false"/>
                <w:iCs w:val="false"/>
                <w:sz w:val="19"/>
                <w:szCs w:val="19"/>
              </w:rPr>
              <w:t xml:space="preserve">business account</w:t>
            </w:r>
          </w:p>
        </w:tc>
        <w:tc>
          <w:tcPr>
            <w:tcW w:type="dxa" w:w="1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Business or enterprise</w:t>
            </w:r>
          </w:p>
          <w:p>
            <w:pPr>
              <w:spacing w:after="0" w:line="240"/>
            </w:pPr>
            <w:r>
              <w:rPr>
                <w:rFonts w:ascii="Calibri" w:cs="Calibri" w:eastAsia="Calibri" w:hAnsi="Calibri"/>
                <w:b w:val="false"/>
                <w:bCs w:val="false"/>
                <w:i w:val="false"/>
                <w:iCs w:val="false"/>
                <w:sz w:val="19"/>
                <w:szCs w:val="19"/>
              </w:rPr>
              <w:t xml:space="preserve">account; free and</w:t>
            </w:r>
          </w:p>
          <w:p>
            <w:pPr>
              <w:spacing w:after="0" w:line="240"/>
            </w:pPr>
            <w:r>
              <w:rPr>
                <w:rFonts w:ascii="Calibri" w:cs="Calibri" w:eastAsia="Calibri" w:hAnsi="Calibri"/>
                <w:b w:val="false"/>
                <w:bCs w:val="false"/>
                <w:i w:val="false"/>
                <w:iCs w:val="false"/>
                <w:sz w:val="19"/>
                <w:szCs w:val="19"/>
              </w:rPr>
              <w:t xml:space="preserve">personal accounts</w:t>
            </w:r>
          </w:p>
          <w:p>
            <w:pPr>
              <w:spacing w:after="0" w:line="240"/>
            </w:pPr>
            <w:r>
              <w:rPr>
                <w:rFonts w:ascii="Calibri" w:cs="Calibri" w:eastAsia="Calibri" w:hAnsi="Calibri"/>
                <w:b w:val="false"/>
                <w:bCs w:val="false"/>
                <w:i w:val="false"/>
                <w:iCs w:val="false"/>
                <w:sz w:val="19"/>
                <w:szCs w:val="19"/>
              </w:rPr>
              <w:t xml:space="preserve">prohibited</w:t>
            </w:r>
          </w:p>
        </w:tc>
        <w:tc>
          <w:tcPr>
            <w:tcW w:type="dxa" w:w="345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Training off under the commercial terms and established by the contract, not by a user setting. Feedback, bug-report and transcript-sharing features disabled, because those channels retain material far longer than a session. Retention set to the shortest available. Where a chambers account is used, member separation established under clause 19.4.</w:t>
            </w:r>
          </w:p>
        </w:tc>
        <w:tc>
          <w:tcPr>
            <w:tcW w:type="dxa" w:w="205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Permitted only where clause 10.3 is satisfied and recorded. A retention period is not publication and not training, so a short retention period is not itself a bar, but the contractual term and the barrister's own record carry the weight.</w:t>
            </w:r>
          </w:p>
        </w:tc>
      </w:tr>
      <w:tr>
        <w:trPr>
          <w:tblHeader w:val="false"/>
        </w:trPr>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Assistant within a</w:t>
            </w:r>
          </w:p>
          <w:p>
            <w:pPr>
              <w:spacing w:after="0" w:line="240"/>
            </w:pPr>
            <w:r>
              <w:rPr>
                <w:rFonts w:ascii="Calibri" w:cs="Calibri" w:eastAsia="Calibri" w:hAnsi="Calibri"/>
                <w:b w:val="false"/>
                <w:bCs w:val="false"/>
                <w:i w:val="false"/>
                <w:iCs w:val="false"/>
                <w:sz w:val="19"/>
                <w:szCs w:val="19"/>
              </w:rPr>
              <w:t xml:space="preserve">controlled tenancy</w:t>
            </w:r>
          </w:p>
        </w:tc>
        <w:tc>
          <w:tcPr>
            <w:tcW w:type="dxa" w:w="1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Tenancy in an</w:t>
            </w:r>
          </w:p>
          <w:p>
            <w:pPr>
              <w:spacing w:after="0" w:line="240"/>
            </w:pPr>
            <w:r>
              <w:rPr>
                <w:rFonts w:ascii="Calibri" w:cs="Calibri" w:eastAsia="Calibri" w:hAnsi="Calibri"/>
                <w:b w:val="false"/>
                <w:bCs w:val="false"/>
                <w:i w:val="false"/>
                <w:iCs w:val="false"/>
                <w:sz w:val="19"/>
                <w:szCs w:val="19"/>
              </w:rPr>
              <w:t xml:space="preserve">Australian region</w:t>
            </w:r>
          </w:p>
        </w:tc>
        <w:tc>
          <w:tcPr>
            <w:tcW w:type="dxa" w:w="345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Region pinned to Australia. Prompts and completions remain within the tenancy. Non-essential traffic to the supplier disabled. Logging enabled.</w:t>
            </w:r>
          </w:p>
        </w:tc>
        <w:tc>
          <w:tcPr>
            <w:tcW w:type="dxa" w:w="205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Permitted, and the route to use where the terms of the brief or the sensitivity of the material require that the supplier retain nothing.</w:t>
            </w:r>
          </w:p>
        </w:tc>
      </w:tr>
    </w:tbl>
    <w:p>
      <w:pPr>
        <w:spacing w:after="200"/>
      </w:pPr>
      <w:r>
        <w:rPr>
          <w:rFonts w:ascii="Calibri" w:cs="Calibri" w:eastAsia="Calibri" w:hAnsi="Calibri"/>
          <w:b w:val="false"/>
          <w:bCs w:val="false"/>
          <w:i w:val="false"/>
          <w:iCs w:val="false"/>
          <w:sz w:val="21"/>
          <w:szCs w:val="21"/>
        </w:rPr>
        <w:t xml:space="preserve"/>
      </w:r>
    </w:p>
    <w:p>
      <w:pPr>
        <w:pStyle w:val="Heading2"/>
        <w:spacing w:after="100" w:before="240"/>
      </w:pPr>
      <w:r>
        <w:rPr>
          <w:rFonts w:ascii="Calibri" w:cs="Calibri" w:eastAsia="Calibri" w:hAnsi="Calibri"/>
          <w:b/>
          <w:bCs/>
          <w:i w:val="false"/>
          <w:iCs w:val="false"/>
          <w:color w:val="000000"/>
          <w:sz w:val="21"/>
          <w:szCs w:val="21"/>
        </w:rPr>
        <w:t xml:space="preserve">Part B  Approved for general use only</w:t>
      </w:r>
    </w:p>
    <w:p>
      <w:pPr>
        <w:spacing w:after="200" w:line="240"/>
        <w:ind w:left="340" w:right="340"/>
        <w:jc w:val="both"/>
      </w:pPr>
      <w:r>
        <w:rPr>
          <w:rFonts w:ascii="Calibri" w:cs="Calibri" w:eastAsia="Calibri" w:hAnsi="Calibri"/>
          <w:b w:val="false"/>
          <w:bCs w:val="false"/>
          <w:i/>
          <w:iCs/>
          <w:color w:val="595959"/>
          <w:sz w:val="19"/>
          <w:szCs w:val="19"/>
        </w:rPr>
        <w:t xml:space="preserve">No confidential information may be entered into these in any form.</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3600"/>
      </w:tblGrid>
      <w:tr>
        <w:trPr>
          <w:tblHeader/>
        </w:trPr>
        <w:tc>
          <w:tcPr>
            <w:tcW w:type="dxa" w:w="19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Application</w:t>
            </w:r>
          </w:p>
        </w:tc>
        <w:tc>
          <w:tcPr>
            <w:tcW w:type="dxa" w:w="31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Permitted use</w:t>
            </w:r>
          </w:p>
        </w:tc>
        <w:tc>
          <w:tcPr>
            <w:tcW w:type="dxa" w:w="36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Settings and prerequisites</w:t>
            </w:r>
          </w:p>
        </w:tc>
      </w:tr>
      <w:tr>
        <w:trPr>
          <w:tblHeader w:val="false"/>
        </w:trP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General assistant,</w:t>
            </w:r>
          </w:p>
          <w:p>
            <w:pPr>
              <w:spacing w:after="0" w:line="240"/>
            </w:pPr>
            <w:r>
              <w:rPr>
                <w:rFonts w:ascii="Calibri" w:cs="Calibri" w:eastAsia="Calibri" w:hAnsi="Calibri"/>
                <w:b w:val="false"/>
                <w:bCs w:val="false"/>
                <w:i w:val="false"/>
                <w:iCs w:val="false"/>
                <w:sz w:val="19"/>
                <w:szCs w:val="19"/>
              </w:rPr>
              <w:t xml:space="preserve">personal account</w:t>
            </w:r>
          </w:p>
        </w:tc>
        <w:tc>
          <w:tcPr>
            <w:tcW w:type="dxa" w:w="3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Continuing education, chambers</w:t>
            </w:r>
          </w:p>
          <w:p>
            <w:pPr>
              <w:spacing w:after="0" w:line="240"/>
            </w:pPr>
            <w:r>
              <w:rPr>
                <w:rFonts w:ascii="Calibri" w:cs="Calibri" w:eastAsia="Calibri" w:hAnsi="Calibri"/>
                <w:b w:val="false"/>
                <w:bCs w:val="false"/>
                <w:i w:val="false"/>
                <w:iCs w:val="false"/>
                <w:sz w:val="19"/>
                <w:szCs w:val="19"/>
              </w:rPr>
              <w:t xml:space="preserve">administration, and matters</w:t>
            </w:r>
          </w:p>
          <w:p>
            <w:pPr>
              <w:spacing w:after="0" w:line="240"/>
            </w:pPr>
            <w:r>
              <w:rPr>
                <w:rFonts w:ascii="Calibri" w:cs="Calibri" w:eastAsia="Calibri" w:hAnsi="Calibri"/>
                <w:b w:val="false"/>
                <w:bCs w:val="false"/>
                <w:i w:val="false"/>
                <w:iCs w:val="false"/>
                <w:sz w:val="19"/>
                <w:szCs w:val="19"/>
              </w:rPr>
              <w:t xml:space="preserve">unconnected with any brief</w:t>
            </w:r>
          </w:p>
        </w:tc>
        <w:tc>
          <w:tcPr>
            <w:tcW w:type="dxa" w:w="3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No confidential information of any kind, including material the user considers anonymised. Not to be used for research on a live brief, because the answer will be shaped by the facts entered.</w:t>
            </w:r>
          </w:p>
        </w:tc>
      </w:tr>
      <w:tr>
        <w:trPr>
          <w:tblHeader w:val="false"/>
        </w:trP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Note and knowledge</w:t>
            </w:r>
          </w:p>
          <w:p>
            <w:pPr>
              <w:spacing w:after="0" w:line="240"/>
            </w:pPr>
            <w:r>
              <w:rPr>
                <w:rFonts w:ascii="Calibri" w:cs="Calibri" w:eastAsia="Calibri" w:hAnsi="Calibri"/>
                <w:b w:val="false"/>
                <w:bCs w:val="false"/>
                <w:i w:val="false"/>
                <w:iCs w:val="false"/>
                <w:sz w:val="19"/>
                <w:szCs w:val="19"/>
              </w:rPr>
              <w:t xml:space="preserve">platform with AI features</w:t>
            </w:r>
          </w:p>
        </w:tc>
        <w:tc>
          <w:tcPr>
            <w:tcW w:type="dxa" w:w="3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Papers, seminars and precedents</w:t>
            </w:r>
          </w:p>
          <w:p>
            <w:pPr>
              <w:spacing w:after="0" w:line="240"/>
            </w:pPr>
            <w:r>
              <w:rPr>
                <w:rFonts w:ascii="Calibri" w:cs="Calibri" w:eastAsia="Calibri" w:hAnsi="Calibri"/>
                <w:b w:val="false"/>
                <w:bCs w:val="false"/>
                <w:i w:val="false"/>
                <w:iCs w:val="false"/>
                <w:sz w:val="19"/>
                <w:szCs w:val="19"/>
              </w:rPr>
              <w:t xml:space="preserve">containing no client material</w:t>
            </w:r>
          </w:p>
        </w:tc>
        <w:tc>
          <w:tcPr>
            <w:tcW w:type="dxa" w:w="3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Any programme that shares content with the supplier to improve a model must remain off. Data region confirmed.</w:t>
            </w:r>
          </w:p>
        </w:tc>
      </w:tr>
      <w:tr>
        <w:trPr>
          <w:tblHeader w:val="false"/>
        </w:trP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Locally hosted model</w:t>
            </w:r>
          </w:p>
        </w:tc>
        <w:tc>
          <w:tcPr>
            <w:tcW w:type="dxa" w:w="3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Any, including sensitive material</w:t>
            </w:r>
          </w:p>
        </w:tc>
        <w:tc>
          <w:tcPr>
            <w:tcW w:type="dxa" w:w="3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Runs on the device with no network egress. Confirm no telemetry and no cloud synchronisation. The lowest exposure of any option and preferred where the material is sensitive and the task allows it.</w:t>
            </w:r>
          </w:p>
        </w:tc>
      </w:tr>
    </w:tbl>
    <w:p>
      <w:pPr>
        <w:spacing w:after="200"/>
      </w:pPr>
      <w:r>
        <w:rPr>
          <w:rFonts w:ascii="Calibri" w:cs="Calibri" w:eastAsia="Calibri" w:hAnsi="Calibri"/>
          <w:b w:val="false"/>
          <w:bCs w:val="false"/>
          <w:i w:val="false"/>
          <w:iCs w:val="false"/>
          <w:sz w:val="21"/>
          <w:szCs w:val="21"/>
        </w:rPr>
        <w:t xml:space="preserve"/>
      </w:r>
    </w:p>
    <w:p>
      <w:pPr>
        <w:pStyle w:val="Heading2"/>
        <w:spacing w:after="100" w:before="240"/>
      </w:pPr>
      <w:r>
        <w:rPr>
          <w:rFonts w:ascii="Calibri" w:cs="Calibri" w:eastAsia="Calibri" w:hAnsi="Calibri"/>
          <w:b/>
          <w:bCs/>
          <w:i w:val="false"/>
          <w:iCs w:val="false"/>
          <w:color w:val="000000"/>
          <w:sz w:val="21"/>
          <w:szCs w:val="21"/>
        </w:rPr>
        <w:t xml:space="preserve">Part C  Recording, transcription and note-taking</w:t>
      </w:r>
    </w:p>
    <w:p>
      <w:pPr>
        <w:spacing w:after="200" w:line="240"/>
        <w:ind w:left="340" w:right="340"/>
        <w:jc w:val="both"/>
      </w:pPr>
      <w:r>
        <w:rPr>
          <w:rFonts w:ascii="Calibri" w:cs="Calibri" w:eastAsia="Calibri" w:hAnsi="Calibri"/>
          <w:b w:val="false"/>
          <w:bCs w:val="false"/>
          <w:i/>
          <w:iCs/>
          <w:color w:val="595959"/>
          <w:sz w:val="19"/>
          <w:szCs w:val="19"/>
        </w:rPr>
        <w:t xml:space="preserve">Clause 16 governs use. Consent is required before recording begins, and recording is prohibited in court.</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000"/>
      </w:tblGrid>
      <w:tr>
        <w:trPr>
          <w:tblHeader/>
        </w:trPr>
        <w:tc>
          <w:tcPr>
            <w:tcW w:type="dxa" w:w="21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Application</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Status</w:t>
            </w:r>
          </w:p>
        </w:tc>
        <w:tc>
          <w:tcPr>
            <w:tcW w:type="dxa" w:w="50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Settings and conditions</w:t>
            </w:r>
          </w:p>
        </w:tc>
      </w:tr>
      <w:tr>
        <w:trPr>
          <w:tblHeader w:val="false"/>
        </w:trPr>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Transcription within a</w:t>
            </w:r>
          </w:p>
          <w:p>
            <w:pPr>
              <w:spacing w:after="0" w:line="240"/>
            </w:pPr>
            <w:r>
              <w:rPr>
                <w:rFonts w:ascii="Calibri" w:cs="Calibri" w:eastAsia="Calibri" w:hAnsi="Calibri"/>
                <w:b w:val="false"/>
                <w:bCs w:val="false"/>
                <w:i w:val="false"/>
                <w:iCs w:val="false"/>
                <w:sz w:val="19"/>
                <w:szCs w:val="19"/>
              </w:rPr>
              <w:t xml:space="preserve">controlled conferencing</w:t>
            </w:r>
          </w:p>
          <w:p>
            <w:pPr>
              <w:spacing w:after="0" w:line="240"/>
            </w:pPr>
            <w:r>
              <w:rPr>
                <w:rFonts w:ascii="Calibri" w:cs="Calibri" w:eastAsia="Calibri" w:hAnsi="Calibri"/>
                <w:b w:val="false"/>
                <w:bCs w:val="false"/>
                <w:i w:val="false"/>
                <w:iCs w:val="false"/>
                <w:sz w:val="19"/>
                <w:szCs w:val="19"/>
              </w:rPr>
              <w:t xml:space="preserve">platform</w:t>
            </w:r>
          </w:p>
        </w:tc>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Approved</w:t>
            </w:r>
          </w:p>
        </w:tc>
        <w:tc>
          <w:tcPr>
            <w:tcW w:type="dxa" w:w="50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Automatic transcription and automatic summary off. Started only after the consent at clause 16.3 is obtained and noted on the brief. Transcript filed to the brief and checked against the audio before use.</w:t>
            </w:r>
          </w:p>
        </w:tc>
      </w:tr>
      <w:tr>
        <w:trPr>
          <w:tblHeader w:val="false"/>
        </w:trPr>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Cloud meeting assistant</w:t>
            </w:r>
          </w:p>
          <w:p>
            <w:pPr>
              <w:spacing w:after="0" w:line="240"/>
            </w:pPr>
            <w:r>
              <w:rPr>
                <w:rFonts w:ascii="Calibri" w:cs="Calibri" w:eastAsia="Calibri" w:hAnsi="Calibri"/>
                <w:b w:val="false"/>
                <w:bCs w:val="false"/>
                <w:i w:val="false"/>
                <w:iCs w:val="false"/>
                <w:sz w:val="19"/>
                <w:szCs w:val="19"/>
              </w:rPr>
              <w:t xml:space="preserve">that joins as a participant</w:t>
            </w:r>
          </w:p>
        </w:tc>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Prohibited</w:t>
            </w:r>
          </w:p>
        </w:tc>
        <w:tc>
          <w:tcPr>
            <w:tcW w:type="dxa" w:w="50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These join and record without a positive act by the user, and the consent position and data path cannot be controlled. Not to be installed on a device used in practice.</w:t>
            </w:r>
          </w:p>
        </w:tc>
      </w:tr>
      <w:tr>
        <w:trPr>
          <w:tblHeader w:val="false"/>
        </w:trPr>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Dictation</w:t>
            </w:r>
          </w:p>
        </w:tc>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Approved where</w:t>
            </w:r>
          </w:p>
          <w:p>
            <w:pPr>
              <w:spacing w:after="0" w:line="240"/>
            </w:pPr>
            <w:r>
              <w:rPr>
                <w:rFonts w:ascii="Calibri" w:cs="Calibri" w:eastAsia="Calibri" w:hAnsi="Calibri"/>
                <w:b w:val="false"/>
                <w:bCs w:val="false"/>
                <w:i w:val="false"/>
                <w:iCs w:val="false"/>
                <w:sz w:val="19"/>
                <w:szCs w:val="19"/>
              </w:rPr>
              <w:t xml:space="preserve">on-device</w:t>
            </w:r>
          </w:p>
        </w:tc>
        <w:tc>
          <w:tcPr>
            <w:tcW w:type="dxa" w:w="50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On-device processing only. A dictation service that transmits audio to a supplier is a use of confidential information and must be entered in Part A, with consent under clause 9, before use.</w:t>
            </w:r>
          </w:p>
        </w:tc>
      </w:tr>
      <w:tr>
        <w:trPr>
          <w:tblHeader w:val="false"/>
        </w:trPr>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Any recording or</w:t>
            </w:r>
          </w:p>
          <w:p>
            <w:pPr>
              <w:spacing w:after="0" w:line="240"/>
            </w:pPr>
            <w:r>
              <w:rPr>
                <w:rFonts w:ascii="Calibri" w:cs="Calibri" w:eastAsia="Calibri" w:hAnsi="Calibri"/>
                <w:b w:val="false"/>
                <w:bCs w:val="false"/>
                <w:i w:val="false"/>
                <w:iCs w:val="false"/>
                <w:sz w:val="19"/>
                <w:szCs w:val="19"/>
              </w:rPr>
              <w:t xml:space="preserve">transcription in court</w:t>
            </w:r>
          </w:p>
        </w:tc>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Prohibited</w:t>
            </w:r>
          </w:p>
        </w:tc>
        <w:tc>
          <w:tcPr>
            <w:tcW w:type="dxa" w:w="50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See clause 16.4. Leave of the court is required and is not implied by a remote hearing.</w:t>
            </w:r>
          </w:p>
        </w:tc>
      </w:tr>
    </w:tbl>
    <w:p>
      <w:pPr>
        <w:spacing w:after="200"/>
      </w:pPr>
      <w:r>
        <w:rPr>
          <w:rFonts w:ascii="Calibri" w:cs="Calibri" w:eastAsia="Calibri" w:hAnsi="Calibri"/>
          <w:b w:val="false"/>
          <w:bCs w:val="false"/>
          <w:i w:val="false"/>
          <w:iCs w:val="false"/>
          <w:sz w:val="21"/>
          <w:szCs w:val="21"/>
        </w:rPr>
        <w:t xml:space="preserve"/>
      </w:r>
    </w:p>
    <w:p>
      <w:pPr>
        <w:pStyle w:val="Heading2"/>
        <w:spacing w:after="100" w:before="240"/>
      </w:pPr>
      <w:r>
        <w:rPr>
          <w:rFonts w:ascii="Calibri" w:cs="Calibri" w:eastAsia="Calibri" w:hAnsi="Calibri"/>
          <w:b/>
          <w:bCs/>
          <w:i w:val="false"/>
          <w:iCs w:val="false"/>
          <w:color w:val="000000"/>
          <w:sz w:val="21"/>
          <w:szCs w:val="21"/>
        </w:rPr>
        <w:t xml:space="preserve">Part D  Prohibited</w:t>
      </w:r>
    </w:p>
    <w:p>
      <w:pPr>
        <w:spacing w:after="200" w:line="240"/>
        <w:ind w:left="340" w:right="340"/>
        <w:jc w:val="both"/>
      </w:pPr>
      <w:r>
        <w:rPr>
          <w:rFonts w:ascii="Calibri" w:cs="Calibri" w:eastAsia="Calibri" w:hAnsi="Calibri"/>
          <w:b w:val="false"/>
          <w:bCs w:val="false"/>
          <w:i/>
          <w:iCs/>
          <w:color w:val="595959"/>
          <w:sz w:val="19"/>
          <w:szCs w:val="19"/>
        </w:rPr>
        <w:t xml:space="preserve">These must not be used for any purpose connected with practice. See clause 8.4.</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2600"/>
        <w:gridCol w:w="6100"/>
      </w:tblGrid>
      <w:tr>
        <w:trPr>
          <w:tblHeader/>
        </w:trPr>
        <w:tc>
          <w:tcPr>
            <w:tcW w:type="dxa" w:w="26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Application or category</w:t>
            </w:r>
          </w:p>
        </w:tc>
        <w:tc>
          <w:tcPr>
            <w:tcW w:type="dxa" w:w="61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Reason</w:t>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Any tool whose terms permit the supplier to</w:t>
            </w:r>
          </w:p>
          <w:p>
            <w:pPr>
              <w:spacing w:after="0" w:line="240"/>
            </w:pPr>
            <w:r>
              <w:rPr>
                <w:rFonts w:ascii="Calibri" w:cs="Calibri" w:eastAsia="Calibri" w:hAnsi="Calibri"/>
                <w:b w:val="false"/>
                <w:bCs w:val="false"/>
                <w:i w:val="false"/>
                <w:iCs w:val="false"/>
                <w:sz w:val="19"/>
                <w:szCs w:val="19"/>
              </w:rPr>
              <w:t xml:space="preserve">train on inputs, with no opt-out the barrister</w:t>
            </w:r>
          </w:p>
          <w:p>
            <w:pPr>
              <w:spacing w:after="0" w:line="240"/>
            </w:pPr>
            <w:r>
              <w:rPr>
                <w:rFonts w:ascii="Calibri" w:cs="Calibri" w:eastAsia="Calibri" w:hAnsi="Calibri"/>
                <w:b w:val="false"/>
                <w:bCs w:val="false"/>
                <w:i w:val="false"/>
                <w:iCs w:val="false"/>
                <w:sz w:val="19"/>
                <w:szCs w:val="19"/>
              </w:rPr>
              <w:t xml:space="preserve">can enforce</w:t>
            </w:r>
          </w:p>
        </w:tc>
        <w:tc>
          <w:tcPr>
            <w:tcW w:type="dxa" w:w="6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The barrister cannot be satisfied of the matters in clause 7.4 or clause 10.3, and the use is capable of breaching the confidentiality rules whatever the barrister intends.</w:t>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Any tool that processes or stores material in a</w:t>
            </w:r>
          </w:p>
          <w:p>
            <w:pPr>
              <w:spacing w:after="0" w:line="240"/>
            </w:pPr>
            <w:r>
              <w:rPr>
                <w:rFonts w:ascii="Calibri" w:cs="Calibri" w:eastAsia="Calibri" w:hAnsi="Calibri"/>
                <w:b w:val="false"/>
                <w:bCs w:val="false"/>
                <w:i w:val="false"/>
                <w:iCs w:val="false"/>
                <w:sz w:val="19"/>
                <w:szCs w:val="19"/>
              </w:rPr>
              <w:t xml:space="preserve">jurisdiction from which the barrister cannot</w:t>
            </w:r>
          </w:p>
          <w:p>
            <w:pPr>
              <w:spacing w:after="0" w:line="240"/>
            </w:pPr>
            <w:r>
              <w:rPr>
                <w:rFonts w:ascii="Calibri" w:cs="Calibri" w:eastAsia="Calibri" w:hAnsi="Calibri"/>
                <w:b w:val="false"/>
                <w:bCs w:val="false"/>
                <w:i w:val="false"/>
                <w:iCs w:val="false"/>
                <w:sz w:val="19"/>
                <w:szCs w:val="19"/>
              </w:rPr>
              <w:t xml:space="preserve">enforce confidentiality</w:t>
            </w:r>
          </w:p>
        </w:tc>
        <w:tc>
          <w:tcPr>
            <w:tcW w:type="dxa" w:w="6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No setting cures the position. Some such tools have been prohibited across Australian government entities on security grounds.</w:t>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Free and personal-subscription tiers, on a brief</w:t>
            </w:r>
          </w:p>
        </w:tc>
        <w:tc>
          <w:tcPr>
            <w:tcW w:type="dxa" w:w="6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The controls are held by the user and can be changed by the user, so they are not controls at all for the purposes of clause 7.7.</w:t>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Meeting assistants that join or record</w:t>
            </w:r>
          </w:p>
          <w:p>
            <w:pPr>
              <w:spacing w:after="0" w:line="240"/>
            </w:pPr>
            <w:r>
              <w:rPr>
                <w:rFonts w:ascii="Calibri" w:cs="Calibri" w:eastAsia="Calibri" w:hAnsi="Calibri"/>
                <w:b w:val="false"/>
                <w:bCs w:val="false"/>
                <w:i w:val="false"/>
                <w:iCs w:val="false"/>
                <w:sz w:val="19"/>
                <w:szCs w:val="19"/>
              </w:rPr>
              <w:t xml:space="preserve">automatically</w:t>
            </w:r>
          </w:p>
        </w:tc>
        <w:tc>
          <w:tcPr>
            <w:tcW w:type="dxa" w:w="6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Recording without a positive act by the user cannot be reconciled with clause 16.3 or with the consent requirements of the relevant State.</w:t>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Browser extensions that read page content</w:t>
            </w:r>
          </w:p>
        </w:tc>
        <w:tc>
          <w:tcPr>
            <w:tcW w:type="dxa" w:w="6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They transmit whatever is on screen, including another client's material and material from another member's matter, and the data path cannot be established.</w:t>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Any shared tool that pools members' material,</w:t>
            </w:r>
          </w:p>
          <w:p>
            <w:pPr>
              <w:spacing w:after="0" w:line="240"/>
            </w:pPr>
            <w:r>
              <w:rPr>
                <w:rFonts w:ascii="Calibri" w:cs="Calibri" w:eastAsia="Calibri" w:hAnsi="Calibri"/>
                <w:b w:val="false"/>
                <w:bCs w:val="false"/>
                <w:i w:val="false"/>
                <w:iCs w:val="false"/>
                <w:sz w:val="19"/>
                <w:szCs w:val="19"/>
              </w:rPr>
              <w:t xml:space="preserve">retains a shared history or builds a shared index</w:t>
            </w:r>
          </w:p>
        </w:tc>
        <w:tc>
          <w:tcPr>
            <w:tcW w:type="dxa" w:w="6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It is capable of putting a member in possession of information confidential to another person in a case, which engages the rules requiring a brief to be refused or returned. See clause 19.3.</w:t>
            </w:r>
          </w:p>
        </w:tc>
      </w:tr>
    </w:tbl>
    <w:p>
      <w:pPr>
        <w:spacing w:after="200"/>
      </w:pPr>
      <w:r>
        <w:rPr>
          <w:rFonts w:ascii="Calibri" w:cs="Calibri" w:eastAsia="Calibri" w:hAnsi="Calibri"/>
          <w:b w:val="false"/>
          <w:bCs w:val="false"/>
          <w:i w:val="false"/>
          <w:iCs w:val="false"/>
          <w:sz w:val="21"/>
          <w:szCs w:val="21"/>
        </w:rPr>
        <w:t xml:space="preserve"/>
      </w:r>
    </w:p>
    <w:p>
      <w:pPr>
        <w:pStyle w:val="Heading2"/>
        <w:spacing w:after="100" w:before="240"/>
      </w:pPr>
      <w:r>
        <w:rPr>
          <w:rFonts w:ascii="Calibri" w:cs="Calibri" w:eastAsia="Calibri" w:hAnsi="Calibri"/>
          <w:b/>
          <w:bCs/>
          <w:i w:val="false"/>
          <w:iCs w:val="false"/>
          <w:color w:val="000000"/>
          <w:sz w:val="21"/>
          <w:szCs w:val="21"/>
        </w:rPr>
        <w:t xml:space="preserve">Part E  Evidence required for each entry in Part A</w:t>
      </w:r>
    </w:p>
    <w:p>
      <w:pPr>
        <w:spacing w:after="160" w:line="240"/>
        <w:ind w:left="680"/>
        <w:jc w:val="both"/>
      </w:pPr>
      <w:r>
        <w:rPr>
          <w:rFonts w:ascii="Calibri" w:cs="Calibri" w:eastAsia="Calibri" w:hAnsi="Calibri"/>
          <w:b w:val="false"/>
          <w:bCs w:val="false"/>
          <w:i w:val="false"/>
          <w:iCs w:val="false"/>
          <w:sz w:val="21"/>
          <w:szCs w:val="21"/>
        </w:rPr>
        <w:t xml:space="preserve">The terms of service as at the date of the assessment, and the dated record of the decision to use. The term recording that inputs and outputs are not used to train any model. The rights the supplier takes over inputs, and confirmation that nothing in the terms operates as a waiver of confidentiality or privilege. The retention period and the setting that establishes it. The supplier's written statement of where data is processed and stored. Confirmation that the barrister's material is separated from that of every other user and, for a shared tool, from that of every other member. The record of what was sent that the barrister can obtain, or a note of its absence. Whether each control is enforced by the account, by managed policy or by contract, rather than by a setting the user can change.</w:t>
      </w:r>
    </w:p>
    <w:p>
      <w:r>
        <w:br w:type="page"/>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Schedule 9  Chambers annex</w:t>
      </w:r>
    </w:p>
    <w:p>
      <w:pPr>
        <w:spacing w:after="200" w:line="240"/>
        <w:ind w:left="340" w:right="340"/>
        <w:jc w:val="both"/>
      </w:pPr>
      <w:r>
        <w:rPr>
          <w:rFonts w:ascii="Calibri" w:cs="Calibri" w:eastAsia="Calibri" w:hAnsi="Calibri"/>
          <w:b w:val="false"/>
          <w:bCs w:val="false"/>
          <w:i/>
          <w:iCs/>
          <w:color w:val="595959"/>
          <w:sz w:val="19"/>
          <w:szCs w:val="19"/>
        </w:rPr>
        <w:t xml:space="preserve">Adopted by the members at floor level. It governs shared facilities only. It does not bind any member's practice, and each member adopts the balance of this protocol personally.</w:t>
      </w:r>
    </w:p>
    <w:p>
      <w:pPr>
        <w:spacing w:after="160" w:line="240"/>
        <w:ind w:left="680"/>
        <w:jc w:val="both"/>
      </w:pPr>
      <w:r>
        <w:rPr>
          <w:rFonts w:ascii="Calibri" w:cs="Calibri" w:eastAsia="Calibri" w:hAnsi="Calibri"/>
          <w:b w:val="false"/>
          <w:bCs w:val="false"/>
          <w:i w:val="false"/>
          <w:iCs w:val="false"/>
          <w:sz w:val="21"/>
          <w:szCs w:val="21"/>
        </w:rPr>
        <w:t xml:space="preserve">The members appoint [a member or the clerk] as nominated barrister for the purposes of clause 19.2.</w:t>
      </w:r>
    </w:p>
    <w:p>
      <w:pPr>
        <w:spacing w:after="160" w:line="240"/>
        <w:ind w:left="680"/>
        <w:jc w:val="both"/>
      </w:pPr>
      <w:r>
        <w:rPr>
          <w:rFonts w:ascii="Calibri" w:cs="Calibri" w:eastAsia="Calibri" w:hAnsi="Calibri"/>
          <w:b w:val="false"/>
          <w:bCs w:val="false"/>
          <w:i w:val="false"/>
          <w:iCs w:val="false"/>
          <w:sz w:val="21"/>
          <w:szCs w:val="21"/>
        </w:rPr>
        <w:t xml:space="preserve">A tool is not adopted for shared use until the nominated barrister has recorded the matters at clause 7.4 and, in particular, has established that each member's material is separated from every other member's in storage, in retrieval, in any memory or personalisation feature, and in any administrative or analytics view.</w:t>
      </w:r>
    </w:p>
    <w:p>
      <w:pPr>
        <w:spacing w:after="160" w:line="240"/>
        <w:ind w:left="680"/>
        <w:jc w:val="both"/>
      </w:pPr>
      <w:r>
        <w:rPr>
          <w:rFonts w:ascii="Calibri" w:cs="Calibri" w:eastAsia="Calibri" w:hAnsi="Calibri"/>
          <w:b w:val="false"/>
          <w:bCs w:val="false"/>
          <w:i w:val="false"/>
          <w:iCs w:val="false"/>
          <w:sz w:val="21"/>
          <w:szCs w:val="21"/>
        </w:rPr>
        <w:t xml:space="preserve">The following are not permitted on any shared system: a shared prompt or session history visible to more than one member; a shared index, vector store or memory built from brief material; an administrative view that exposes the content of a member's prompts or documents; and any configuration in which a chambers document store, scanner, printer or backup is indexed by a tool available to other members.</w:t>
      </w:r>
    </w:p>
    <w:p>
      <w:pPr>
        <w:spacing w:after="160" w:line="240"/>
        <w:ind w:left="680"/>
        <w:jc w:val="both"/>
      </w:pPr>
      <w:r>
        <w:rPr>
          <w:rFonts w:ascii="Calibri" w:cs="Calibri" w:eastAsia="Calibri" w:hAnsi="Calibri"/>
          <w:b w:val="false"/>
          <w:bCs w:val="false"/>
          <w:i w:val="false"/>
          <w:iCs w:val="false"/>
          <w:sz w:val="21"/>
          <w:szCs w:val="21"/>
        </w:rPr>
        <w:t xml:space="preserve">The clerk must not enter the content of any brief into a tool. Any tool used for listing, scheduling or fee administration is assessed on the footing that it will hold information about who is briefed in what, and is recorded in the register accordingly.</w:t>
      </w:r>
    </w:p>
    <w:p>
      <w:pPr>
        <w:spacing w:after="160" w:line="240"/>
        <w:ind w:left="680"/>
        <w:jc w:val="both"/>
      </w:pPr>
      <w:r>
        <w:rPr>
          <w:rFonts w:ascii="Calibri" w:cs="Calibri" w:eastAsia="Calibri" w:hAnsi="Calibri"/>
          <w:b w:val="false"/>
          <w:bCs w:val="false"/>
          <w:i w:val="false"/>
          <w:iCs w:val="false"/>
          <w:sz w:val="21"/>
          <w:szCs w:val="21"/>
        </w:rPr>
        <w:t xml:space="preserve">The nominated barrister brings any change in a supplier's terms to the members' attention promptly, and records the date on which the change took effect.</w:t>
      </w:r>
    </w:p>
    <w:p>
      <w:pPr>
        <w:spacing w:after="160" w:line="240"/>
        <w:ind w:left="680"/>
        <w:jc w:val="both"/>
      </w:pPr>
      <w:r>
        <w:rPr>
          <w:rFonts w:ascii="Calibri" w:cs="Calibri" w:eastAsia="Calibri" w:hAnsi="Calibri"/>
          <w:b w:val="false"/>
          <w:bCs w:val="false"/>
          <w:i w:val="false"/>
          <w:iCs w:val="false"/>
          <w:sz w:val="21"/>
          <w:szCs w:val="21"/>
        </w:rPr>
        <w:t xml:space="preserve">Where there is reason to think a shared tool has exposed one member's material to another, the nominated barrister informs every member affected on the same day, so that each can consider their position under the Rules concerning briefs and confidential information.</w:t>
      </w:r>
    </w:p>
    <w:p>
      <w:pPr>
        <w:spacing w:after="160" w:line="240"/>
        <w:ind w:left="680"/>
        <w:jc w:val="both"/>
      </w:pPr>
      <w:r>
        <w:rPr>
          <w:rFonts w:ascii="Calibri" w:cs="Calibri" w:eastAsia="Calibri" w:hAnsi="Calibri"/>
          <w:b w:val="false"/>
          <w:bCs w:val="false"/>
          <w:i w:val="false"/>
          <w:iCs w:val="false"/>
          <w:sz w:val="21"/>
          <w:szCs w:val="21"/>
        </w:rPr>
        <w:t xml:space="preserve">Adoption of a tool under this annex does not oblige any member to use it and does not constitute any assessment or satisfaction required of a member personally.</w:t>
      </w:r>
    </w:p>
    <w:p>
      <w:r>
        <w:br w:type="page"/>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Schedule 10  Quick reference</w:t>
      </w:r>
    </w:p>
    <w:p>
      <w:pPr>
        <w:spacing w:after="200" w:line="240"/>
        <w:ind w:left="340" w:right="340"/>
        <w:jc w:val="both"/>
      </w:pPr>
      <w:r>
        <w:rPr>
          <w:rFonts w:ascii="Calibri" w:cs="Calibri" w:eastAsia="Calibri" w:hAnsi="Calibri"/>
          <w:b w:val="false"/>
          <w:bCs w:val="false"/>
          <w:i/>
          <w:iCs/>
          <w:color w:val="595959"/>
          <w:sz w:val="19"/>
          <w:szCs w:val="19"/>
        </w:rPr>
        <w:t xml:space="preserve">A summary for daily use. It does not replace the protocol.</w:t>
      </w:r>
    </w:p>
    <w:p>
      <w:pPr>
        <w:spacing w:after="160" w:line="240"/>
        <w:ind w:left="680"/>
        <w:jc w:val="both"/>
      </w:pPr>
      <w:r>
        <w:rPr>
          <w:rFonts w:ascii="Calibri" w:cs="Calibri" w:eastAsia="Calibri" w:hAnsi="Calibri"/>
          <w:b w:val="false"/>
          <w:bCs w:val="false"/>
          <w:i w:val="false"/>
          <w:iCs w:val="false"/>
          <w:sz w:val="21"/>
          <w:szCs w:val="21"/>
        </w:rPr>
        <w:t xml:space="preserve">Use only a tool in your register, through your own account. Never a personal or free account on a brief.</w:t>
      </w:r>
    </w:p>
    <w:p>
      <w:pPr>
        <w:spacing w:after="160" w:line="240"/>
        <w:ind w:left="680"/>
        <w:jc w:val="both"/>
      </w:pPr>
      <w:r>
        <w:rPr>
          <w:rFonts w:ascii="Calibri" w:cs="Calibri" w:eastAsia="Calibri" w:hAnsi="Calibri"/>
          <w:b w:val="false"/>
          <w:bCs w:val="false"/>
          <w:i w:val="false"/>
          <w:iCs w:val="false"/>
          <w:sz w:val="21"/>
          <w:szCs w:val="21"/>
        </w:rPr>
        <w:t xml:space="preserve">The confidentiality carve-out that lets you show a brief to your instructing solicitor, your staff, a reader or a devil does not extend to a software supplier. Get the client's consent through the instructing solicitor before a tool touches the brief, and record it.</w:t>
      </w:r>
    </w:p>
    <w:p>
      <w:pPr>
        <w:spacing w:after="160" w:line="240"/>
        <w:ind w:left="680"/>
        <w:jc w:val="both"/>
      </w:pPr>
      <w:r>
        <w:rPr>
          <w:rFonts w:ascii="Calibri" w:cs="Calibri" w:eastAsia="Calibri" w:hAnsi="Calibri"/>
          <w:b w:val="false"/>
          <w:bCs w:val="false"/>
          <w:i w:val="false"/>
          <w:iCs w:val="false"/>
          <w:sz w:val="21"/>
          <w:szCs w:val="21"/>
        </w:rPr>
        <w:t xml:space="preserve">Do not release anything under your name that you cannot explain and support on your feet without the tool.</w:t>
      </w:r>
    </w:p>
    <w:p>
      <w:pPr>
        <w:spacing w:after="160" w:line="240"/>
        <w:ind w:left="680"/>
        <w:jc w:val="both"/>
      </w:pPr>
      <w:r>
        <w:rPr>
          <w:rFonts w:ascii="Calibri" w:cs="Calibri" w:eastAsia="Calibri" w:hAnsi="Calibri"/>
          <w:b w:val="false"/>
          <w:bCs w:val="false"/>
          <w:i w:val="false"/>
          <w:iCs w:val="false"/>
          <w:sz w:val="21"/>
          <w:szCs w:val="21"/>
        </w:rPr>
        <w:t xml:space="preserve">Open the judgment and the section and read them yourself. Asking the tool to confirm its own citation is not verification, and neither is asking a second tool.</w:t>
      </w:r>
    </w:p>
    <w:p>
      <w:pPr>
        <w:spacing w:after="160" w:line="240"/>
        <w:ind w:left="680"/>
        <w:jc w:val="both"/>
      </w:pPr>
      <w:r>
        <w:rPr>
          <w:rFonts w:ascii="Calibri" w:cs="Calibri" w:eastAsia="Calibri" w:hAnsi="Calibri"/>
          <w:b w:val="false"/>
          <w:bCs w:val="false"/>
          <w:i w:val="false"/>
          <w:iCs w:val="false"/>
          <w:sz w:val="21"/>
          <w:szCs w:val="21"/>
        </w:rPr>
        <w:t xml:space="preserve">Search for the authority against your client's case deliberately. A tool will give you support if you ask for support, and your duty to the court is not discharged by that.</w:t>
      </w:r>
    </w:p>
    <w:p>
      <w:pPr>
        <w:spacing w:after="160" w:line="240"/>
        <w:ind w:left="680"/>
        <w:jc w:val="both"/>
      </w:pPr>
      <w:r>
        <w:rPr>
          <w:rFonts w:ascii="Calibri" w:cs="Calibri" w:eastAsia="Calibri" w:hAnsi="Calibri"/>
          <w:b w:val="false"/>
          <w:bCs w:val="false"/>
          <w:i w:val="false"/>
          <w:iCs w:val="false"/>
          <w:sz w:val="21"/>
          <w:szCs w:val="21"/>
        </w:rPr>
        <w:t xml:space="preserve">Never write the words of an affidavit or a witness statement with a tool, and never use one to reword a witness's evidence. If you settle it, you are alleging it.</w:t>
      </w:r>
    </w:p>
    <w:p>
      <w:pPr>
        <w:spacing w:after="160" w:line="240"/>
        <w:ind w:left="680"/>
        <w:jc w:val="both"/>
      </w:pPr>
      <w:r>
        <w:rPr>
          <w:rFonts w:ascii="Calibri" w:cs="Calibri" w:eastAsia="Calibri" w:hAnsi="Calibri"/>
          <w:b w:val="false"/>
          <w:bCs w:val="false"/>
          <w:i w:val="false"/>
          <w:iCs w:val="false"/>
          <w:sz w:val="21"/>
          <w:szCs w:val="21"/>
        </w:rPr>
        <w:t xml:space="preserve">Subpoenaed material, discovery from the other side, anything under a suppression order, and anything about children: stop, and complete the approval yourself before anything is entered.</w:t>
      </w:r>
    </w:p>
    <w:p>
      <w:pPr>
        <w:spacing w:after="160" w:line="240"/>
        <w:ind w:left="680"/>
        <w:jc w:val="both"/>
      </w:pPr>
      <w:r>
        <w:rPr>
          <w:rFonts w:ascii="Calibri" w:cs="Calibri" w:eastAsia="Calibri" w:hAnsi="Calibri"/>
          <w:b w:val="false"/>
          <w:bCs w:val="false"/>
          <w:i w:val="false"/>
          <w:iCs w:val="false"/>
          <w:sz w:val="21"/>
          <w:szCs w:val="21"/>
        </w:rPr>
        <w:t xml:space="preserve">Keep the prompts, the choices and the output on the brief. You may be asked which parts a tool produced and how you checked them.</w:t>
      </w:r>
    </w:p>
    <w:p>
      <w:pPr>
        <w:spacing w:after="160" w:line="240"/>
        <w:ind w:left="680"/>
        <w:jc w:val="both"/>
      </w:pPr>
      <w:r>
        <w:rPr>
          <w:rFonts w:ascii="Calibri" w:cs="Calibri" w:eastAsia="Calibri" w:hAnsi="Calibri"/>
          <w:b w:val="false"/>
          <w:bCs w:val="false"/>
          <w:i w:val="false"/>
          <w:iCs w:val="false"/>
          <w:sz w:val="21"/>
          <w:szCs w:val="21"/>
        </w:rPr>
        <w:t xml:space="preserve">Charge the time you spent, not the time the task used to take.</w:t>
      </w:r>
    </w:p>
    <w:p>
      <w:pPr>
        <w:spacing w:after="160" w:line="240"/>
        <w:ind w:left="680"/>
        <w:jc w:val="both"/>
      </w:pPr>
      <w:r>
        <w:rPr>
          <w:rFonts w:ascii="Calibri" w:cs="Calibri" w:eastAsia="Calibri" w:hAnsi="Calibri"/>
          <w:b w:val="false"/>
          <w:bCs w:val="false"/>
          <w:i w:val="false"/>
          <w:iCs w:val="false"/>
          <w:sz w:val="21"/>
          <w:szCs w:val="21"/>
        </w:rPr>
        <w:t xml:space="preserve">Nothing on a shared chambers system may let another member reach your brief material. If you think it has, say so the same day.</w:t>
      </w:r>
    </w:p>
    <w:p>
      <w:r>
        <w:br w:type="page"/>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Schedule 11  Acknowledgment</w:t>
      </w:r>
    </w:p>
    <w:p>
      <w:pPr>
        <w:spacing w:after="200" w:line="240"/>
        <w:ind w:left="340" w:right="340"/>
        <w:jc w:val="both"/>
      </w:pPr>
      <w:r>
        <w:rPr>
          <w:rFonts w:ascii="Calibri" w:cs="Calibri" w:eastAsia="Calibri" w:hAnsi="Calibri"/>
          <w:b w:val="false"/>
          <w:bCs w:val="false"/>
          <w:i/>
          <w:iCs/>
          <w:color w:val="595959"/>
          <w:sz w:val="19"/>
          <w:szCs w:val="19"/>
        </w:rPr>
        <w:t xml:space="preserve">For a reader, a devilling barrister, a clerk or a member of staff.</w:t>
      </w:r>
    </w:p>
    <w:p>
      <w:pPr>
        <w:spacing w:after="160" w:line="240"/>
        <w:ind w:left="680"/>
        <w:jc w:val="both"/>
      </w:pPr>
      <w:r>
        <w:rPr>
          <w:rFonts w:ascii="Calibri" w:cs="Calibri" w:eastAsia="Calibri" w:hAnsi="Calibri"/>
          <w:b w:val="false"/>
          <w:bCs w:val="false"/>
          <w:i w:val="false"/>
          <w:iCs w:val="false"/>
          <w:sz w:val="21"/>
          <w:szCs w:val="21"/>
        </w:rPr>
        <w:t xml:space="preserve">I have read the Protocol on the Use of Artificial Intelligence in Barristers' Practice. I understand that it applies to my use of artificial intelligence on any brief to which I have access, whether on a chambers device or my own. I understand that I am bound by the same duties of confidentiality as the barrister whose brief it is. I agree to comply with the protocol, to use no tool on a brief unless the barrister has told me I may, and to report a suspected breach to that barrister on the day I become aware of it.</w:t>
      </w:r>
    </w:p>
    <w:p>
      <w:pPr>
        <w:spacing w:after="360"/>
      </w:pPr>
      <w:r>
        <w:rPr>
          <w:rFonts w:ascii="Calibri" w:cs="Calibri" w:eastAsia="Calibri" w:hAnsi="Calibri"/>
          <w:b w:val="false"/>
          <w:bCs w:val="false"/>
          <w:i w:val="false"/>
          <w:iCs w:val="false"/>
          <w:sz w:val="21"/>
          <w:szCs w:val="21"/>
        </w:rP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Name</w:t>
            </w:r>
          </w:p>
        </w:tc>
        <w:tc>
          <w:tcPr>
            <w:tcW w:type="dxa" w:w="62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Position</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Signature</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Date</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404040" w:sz="6" w:space="6"/>
      </w:pBdr>
      <w:jc w:val="right"/>
    </w:pPr>
    <w:r>
      <w:rPr>
        <w:rFonts w:ascii="Calibri" w:cs="Calibri" w:eastAsia="Calibri" w:hAnsi="Calibri"/>
        <w:color w:val="595959"/>
        <w:sz w:val="17"/>
        <w:szCs w:val="17"/>
      </w:rPr>
      <w:t xml:space="preserve">Protocol on the Use of Artificial Intelligence in Barristers' Practice   |   Version 1.0   |   Page </w:t>
    </w:r>
    <w:r>
      <w:rPr>
        <w:rFonts w:ascii="Calibri" w:cs="Calibri" w:eastAsia="Calibri" w:hAnsi="Calibri"/>
        <w:color w:val="595959"/>
        <w:sz w:val="17"/>
        <w:szCs w:val="17"/>
      </w:rPr>
      <w:fldChar w:fldCharType="begin"/>
      <w:instrText xml:space="preserve">PAGE</w:instrText>
      <w:fldChar w:fldCharType="separate"/>
      <w:fldChar w:fldCharType="end"/>
    </w:r>
    <w:r>
      <w:rPr>
        <w:rFonts w:ascii="Calibri" w:cs="Calibri" w:eastAsia="Calibri" w:hAnsi="Calibri"/>
        <w:color w:val="595959"/>
        <w:sz w:val="17"/>
        <w:szCs w:val="17"/>
      </w:rPr>
      <w:t xml:space="preserve"> of </w:t>
    </w:r>
    <w:r>
      <w:rPr>
        <w:rFonts w:ascii="Calibri" w:cs="Calibri" w:eastAsia="Calibri" w:hAnsi="Calibri"/>
        <w:color w:val="59595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2026-07-29T08:06:18.135Z</dcterms:created>
  <dcterms:modified xsi:type="dcterms:W3CDTF">2026-07-29T08:06:18.135Z</dcterms:modified>
</cp:coreProperties>
</file>

<file path=docProps/custom.xml><?xml version="1.0" encoding="utf-8"?>
<Properties xmlns="http://schemas.openxmlformats.org/officeDocument/2006/custom-properties" xmlns:vt="http://schemas.openxmlformats.org/officeDocument/2006/docPropsVTypes"/>
</file>