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AC2B" w14:textId="77777777" w:rsidR="00FE6F30" w:rsidRPr="00FE6F30" w:rsidRDefault="00FE6F30" w:rsidP="00FE6F30">
      <w:pPr>
        <w:spacing w:after="60" w:line="240" w:lineRule="auto"/>
        <w:rPr>
          <w:rFonts w:ascii="Times New Roman" w:eastAsia="Times New Roman" w:hAnsi="Times New Roman" w:cs="Times New Roman"/>
          <w:kern w:val="0"/>
          <w14:ligatures w14:val="none"/>
        </w:rPr>
      </w:pPr>
      <w:r w:rsidRPr="00FE6F30">
        <w:rPr>
          <w:rFonts w:ascii="Arial" w:eastAsia="Times New Roman" w:hAnsi="Arial" w:cs="Arial"/>
          <w:color w:val="000000"/>
          <w:kern w:val="0"/>
          <w:sz w:val="52"/>
          <w:szCs w:val="52"/>
          <w14:ligatures w14:val="none"/>
        </w:rPr>
        <w:t>Template Assessment Summary Report</w:t>
      </w:r>
    </w:p>
    <w:p w14:paraId="0D30AD9D"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i/>
          <w:iCs/>
          <w:color w:val="000000"/>
          <w:kern w:val="0"/>
          <w:sz w:val="22"/>
          <w:szCs w:val="22"/>
          <w14:ligatures w14:val="none"/>
        </w:rPr>
        <w:t> *This is an example of output the DSAF application can provide for various users. Fisheries and Ecosystem management sectors can use this summary of results to support decision-making and risk-based assessment processes.</w:t>
      </w:r>
    </w:p>
    <w:p w14:paraId="1F811829"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p>
    <w:p w14:paraId="3688923F"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i/>
          <w:iCs/>
          <w:color w:val="000000"/>
          <w:kern w:val="0"/>
          <w:sz w:val="22"/>
          <w:szCs w:val="22"/>
          <w14:ligatures w14:val="none"/>
        </w:rPr>
        <w:t>**Purely for demonstration purposes, the example chosen here is of a “climate winner”, which is a hypothetical species anticipated to benefit from climate change in the user-selected management area. </w:t>
      </w:r>
    </w:p>
    <w:p w14:paraId="305F3AF4" w14:textId="77777777" w:rsidR="00FE6F30" w:rsidRPr="00FE6F30" w:rsidRDefault="00FE6F30" w:rsidP="00FE6F30">
      <w:pPr>
        <w:spacing w:after="240" w:line="240" w:lineRule="auto"/>
        <w:rPr>
          <w:rFonts w:ascii="Times New Roman" w:eastAsia="Times New Roman" w:hAnsi="Times New Roman" w:cs="Times New Roman"/>
          <w:kern w:val="0"/>
          <w14:ligatures w14:val="none"/>
        </w:rPr>
      </w:pPr>
    </w:p>
    <w:p w14:paraId="506561BB" w14:textId="0477835A" w:rsidR="00FE6F30" w:rsidRPr="00FE6F30" w:rsidRDefault="00FE6F30" w:rsidP="00FE6F30">
      <w:pPr>
        <w:spacing w:after="320" w:line="240" w:lineRule="auto"/>
        <w:rPr>
          <w:rFonts w:ascii="Times New Roman" w:eastAsia="Times New Roman" w:hAnsi="Times New Roman" w:cs="Times New Roman"/>
          <w:b/>
          <w:bCs/>
          <w:kern w:val="0"/>
          <w14:ligatures w14:val="none"/>
        </w:rPr>
      </w:pPr>
      <w:r w:rsidRPr="00FE6F30">
        <w:rPr>
          <w:rFonts w:ascii="Arial" w:eastAsia="Times New Roman" w:hAnsi="Arial" w:cs="Arial"/>
          <w:color w:val="666666"/>
          <w:kern w:val="0"/>
          <w:sz w:val="30"/>
          <w:szCs w:val="30"/>
          <w14:ligatures w14:val="none"/>
        </w:rPr>
        <w:t xml:space="preserve">For </w:t>
      </w:r>
      <w:r w:rsidR="00EB5923">
        <w:rPr>
          <w:rFonts w:ascii="Arial" w:eastAsia="Times New Roman" w:hAnsi="Arial" w:cs="Arial"/>
          <w:b/>
          <w:bCs/>
          <w:color w:val="666666"/>
          <w:kern w:val="0"/>
          <w:sz w:val="30"/>
          <w:szCs w:val="30"/>
          <w14:ligatures w14:val="none"/>
        </w:rPr>
        <w:t>S</w:t>
      </w:r>
      <w:r w:rsidRPr="00FE6F30">
        <w:rPr>
          <w:rFonts w:ascii="Arial" w:eastAsia="Times New Roman" w:hAnsi="Arial" w:cs="Arial"/>
          <w:b/>
          <w:bCs/>
          <w:color w:val="666666"/>
          <w:kern w:val="0"/>
          <w:sz w:val="30"/>
          <w:szCs w:val="30"/>
          <w14:ligatures w14:val="none"/>
        </w:rPr>
        <w:t xml:space="preserve">pecies X </w:t>
      </w:r>
      <w:r w:rsidRPr="00FE6F30">
        <w:rPr>
          <w:rFonts w:ascii="Arial" w:eastAsia="Times New Roman" w:hAnsi="Arial" w:cs="Arial"/>
          <w:color w:val="666666"/>
          <w:kern w:val="0"/>
          <w:sz w:val="30"/>
          <w:szCs w:val="30"/>
          <w14:ligatures w14:val="none"/>
        </w:rPr>
        <w:t xml:space="preserve">in selected management </w:t>
      </w:r>
      <w:r w:rsidRPr="00FE6F30">
        <w:rPr>
          <w:rFonts w:ascii="Arial" w:eastAsia="Times New Roman" w:hAnsi="Arial" w:cs="Arial"/>
          <w:b/>
          <w:bCs/>
          <w:color w:val="666666"/>
          <w:kern w:val="0"/>
          <w:sz w:val="30"/>
          <w:szCs w:val="30"/>
          <w14:ligatures w14:val="none"/>
        </w:rPr>
        <w:t>Region</w:t>
      </w:r>
      <w:r w:rsidR="00EB5923">
        <w:rPr>
          <w:rFonts w:ascii="Arial" w:eastAsia="Times New Roman" w:hAnsi="Arial" w:cs="Arial"/>
          <w:b/>
          <w:bCs/>
          <w:color w:val="666666"/>
          <w:kern w:val="0"/>
          <w:sz w:val="30"/>
          <w:szCs w:val="30"/>
          <w14:ligatures w14:val="none"/>
        </w:rPr>
        <w:t xml:space="preserve"> </w:t>
      </w:r>
      <w:r w:rsidRPr="00FE6F30">
        <w:rPr>
          <w:rFonts w:ascii="Arial" w:eastAsia="Times New Roman" w:hAnsi="Arial" w:cs="Arial"/>
          <w:b/>
          <w:bCs/>
          <w:color w:val="666666"/>
          <w:kern w:val="0"/>
          <w:sz w:val="30"/>
          <w:szCs w:val="30"/>
          <w14:ligatures w14:val="none"/>
        </w:rPr>
        <w:t>1</w:t>
      </w:r>
    </w:p>
    <w:p w14:paraId="5C631A86" w14:textId="77777777" w:rsidR="00FE6F30" w:rsidRPr="00FE6F30" w:rsidRDefault="00FE6F30" w:rsidP="00FE6F30">
      <w:pPr>
        <w:spacing w:before="400" w:after="120" w:line="240" w:lineRule="auto"/>
        <w:outlineLvl w:val="0"/>
        <w:rPr>
          <w:rFonts w:ascii="Times New Roman" w:eastAsia="Times New Roman" w:hAnsi="Times New Roman" w:cs="Times New Roman"/>
          <w:b/>
          <w:bCs/>
          <w:kern w:val="36"/>
          <w:sz w:val="48"/>
          <w:szCs w:val="48"/>
          <w14:ligatures w14:val="none"/>
        </w:rPr>
      </w:pPr>
      <w:r w:rsidRPr="00FE6F30">
        <w:rPr>
          <w:rFonts w:ascii="Arial" w:eastAsia="Times New Roman" w:hAnsi="Arial" w:cs="Arial"/>
          <w:color w:val="000000"/>
          <w:kern w:val="36"/>
          <w:sz w:val="40"/>
          <w:szCs w:val="40"/>
          <w14:ligatures w14:val="none"/>
        </w:rPr>
        <w:t>Overall Climate Risk (Triaging Step)</w:t>
      </w:r>
    </w:p>
    <w:p w14:paraId="60FD6D7B"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color w:val="000000"/>
          <w:kern w:val="0"/>
          <w:sz w:val="22"/>
          <w:szCs w:val="22"/>
          <w14:ligatures w14:val="none"/>
        </w:rPr>
        <w:t xml:space="preserve">Species X overall has a </w:t>
      </w:r>
      <w:r w:rsidRPr="00FE6F30">
        <w:rPr>
          <w:rFonts w:ascii="Arial" w:eastAsia="Times New Roman" w:hAnsi="Arial" w:cs="Arial"/>
          <w:b/>
          <w:bCs/>
          <w:color w:val="3A7C22" w:themeColor="accent6" w:themeShade="BF"/>
          <w:kern w:val="0"/>
          <w:sz w:val="22"/>
          <w:szCs w:val="22"/>
          <w:u w:val="single"/>
          <w14:ligatures w14:val="none"/>
        </w:rPr>
        <w:t>Negligible Risk</w:t>
      </w:r>
      <w:r w:rsidRPr="00FE6F30">
        <w:rPr>
          <w:rFonts w:ascii="Arial" w:eastAsia="Times New Roman" w:hAnsi="Arial" w:cs="Arial"/>
          <w:color w:val="3A7C22" w:themeColor="accent6" w:themeShade="BF"/>
          <w:kern w:val="0"/>
          <w:sz w:val="22"/>
          <w:szCs w:val="22"/>
          <w14:ligatures w14:val="none"/>
        </w:rPr>
        <w:t xml:space="preserve"> </w:t>
      </w:r>
      <w:r w:rsidRPr="00FE6F30">
        <w:rPr>
          <w:rFonts w:ascii="Arial" w:eastAsia="Times New Roman" w:hAnsi="Arial" w:cs="Arial"/>
          <w:color w:val="000000"/>
          <w:kern w:val="0"/>
          <w:sz w:val="22"/>
          <w:szCs w:val="22"/>
          <w14:ligatures w14:val="none"/>
        </w:rPr>
        <w:t>of negative climate change impacts in the user-selected Region1 according to results of the Climate Risk Index for Biodiversity assessment (Boyce et al. 2022; illustrated below). In the following sections, indicators of current and potential future distribution shift of this species in Region1 and surrounding areas will be summarized to provide further details of relevance to fisheries management.</w:t>
      </w:r>
    </w:p>
    <w:p w14:paraId="755DE99D"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p>
    <w:p w14:paraId="2ED81563"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i/>
          <w:iCs/>
          <w:color w:val="000000"/>
          <w:kern w:val="0"/>
          <w:sz w:val="22"/>
          <w:szCs w:val="22"/>
          <w14:ligatures w14:val="none"/>
        </w:rPr>
        <w:t>&lt;&lt; This image is a placeholder for a map of Species X overall climate risk, as assessed using the CRIB approach, in Region1 &gt;&gt;</w:t>
      </w:r>
    </w:p>
    <w:p w14:paraId="32B9396D"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noProof/>
          <w:color w:val="000000"/>
          <w:kern w:val="0"/>
          <w:sz w:val="22"/>
          <w:szCs w:val="22"/>
          <w:bdr w:val="none" w:sz="0" w:space="0" w:color="auto" w:frame="1"/>
          <w14:ligatures w14:val="none"/>
        </w:rPr>
        <w:drawing>
          <wp:inline distT="0" distB="0" distL="0" distR="0" wp14:anchorId="531D8E55" wp14:editId="6968E56E">
            <wp:extent cx="3610610" cy="1480185"/>
            <wp:effectExtent l="0" t="0" r="0" b="5715"/>
            <wp:docPr id="2071918269" name="Picture 2" descr="A diagram of climate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18269" name="Picture 2" descr="A diagram of climate chang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0610" cy="1480185"/>
                    </a:xfrm>
                    <a:prstGeom prst="rect">
                      <a:avLst/>
                    </a:prstGeom>
                    <a:noFill/>
                    <a:ln>
                      <a:noFill/>
                    </a:ln>
                  </pic:spPr>
                </pic:pic>
              </a:graphicData>
            </a:graphic>
          </wp:inline>
        </w:drawing>
      </w:r>
    </w:p>
    <w:p w14:paraId="06DCE8DC"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b/>
          <w:bCs/>
          <w:color w:val="000000"/>
          <w:kern w:val="0"/>
          <w:sz w:val="22"/>
          <w:szCs w:val="22"/>
          <w14:ligatures w14:val="none"/>
        </w:rPr>
        <w:t>Figure 1.</w:t>
      </w:r>
      <w:r w:rsidRPr="00FE6F30">
        <w:rPr>
          <w:rFonts w:ascii="Arial" w:eastAsia="Times New Roman" w:hAnsi="Arial" w:cs="Arial"/>
          <w:color w:val="000000"/>
          <w:kern w:val="0"/>
          <w:sz w:val="22"/>
          <w:szCs w:val="22"/>
          <w14:ligatures w14:val="none"/>
        </w:rPr>
        <w:t xml:space="preserve"> Climate Risk Index for Biodiversity (CRIB) methodology (Boyce et al. 2022)​</w:t>
      </w:r>
    </w:p>
    <w:p w14:paraId="63DE06BA" w14:textId="77777777" w:rsidR="00FE6F30" w:rsidRPr="00FE6F30" w:rsidRDefault="00FE6F30" w:rsidP="00FE6F30">
      <w:pPr>
        <w:spacing w:before="400" w:after="120" w:line="240" w:lineRule="auto"/>
        <w:outlineLvl w:val="0"/>
        <w:rPr>
          <w:rFonts w:ascii="Times New Roman" w:eastAsia="Times New Roman" w:hAnsi="Times New Roman" w:cs="Times New Roman"/>
          <w:b/>
          <w:bCs/>
          <w:kern w:val="36"/>
          <w:sz w:val="48"/>
          <w:szCs w:val="48"/>
          <w14:ligatures w14:val="none"/>
        </w:rPr>
      </w:pPr>
      <w:r w:rsidRPr="00FE6F30">
        <w:rPr>
          <w:rFonts w:ascii="Arial" w:eastAsia="Times New Roman" w:hAnsi="Arial" w:cs="Arial"/>
          <w:color w:val="000000"/>
          <w:kern w:val="36"/>
          <w:sz w:val="40"/>
          <w:szCs w:val="40"/>
          <w14:ligatures w14:val="none"/>
        </w:rPr>
        <w:t>Current trends in Abundance and Distribution:​</w:t>
      </w:r>
    </w:p>
    <w:p w14:paraId="57B5005C"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color w:val="000000"/>
          <w:kern w:val="0"/>
          <w:sz w:val="22"/>
          <w:szCs w:val="22"/>
          <w14:ligatures w14:val="none"/>
        </w:rPr>
        <w:t>Overall, species X is expanding northward into the selected Region1. This is exemplified by the northerly shift in the leading range edge of its distribution, which falls within selected Region1 (shown in green in plots below), relative to a lack of significant movement of its trailing edge in the reference Region2 (shown in blue in plots below). In the selected management Region1, this species is increasing slightly in abundance and area occupied, while not shifting in depth spatial distribution. The species is also increasing in abundance and area occupied in the reference Region2.</w:t>
      </w:r>
    </w:p>
    <w:p w14:paraId="55DBADC0"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b/>
          <w:bCs/>
          <w:noProof/>
          <w:color w:val="000000"/>
          <w:kern w:val="0"/>
          <w:sz w:val="22"/>
          <w:szCs w:val="22"/>
          <w:bdr w:val="none" w:sz="0" w:space="0" w:color="auto" w:frame="1"/>
          <w14:ligatures w14:val="none"/>
        </w:rPr>
        <w:lastRenderedPageBreak/>
        <w:drawing>
          <wp:inline distT="0" distB="0" distL="0" distR="0" wp14:anchorId="47D068D9" wp14:editId="0D1EA046">
            <wp:extent cx="3252470" cy="2790190"/>
            <wp:effectExtent l="0" t="0" r="0" b="3810"/>
            <wp:docPr id="2071833162" name="Picture 1" descr="A chart of different levels of dep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33162" name="Picture 1" descr="A chart of different levels of dept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2470" cy="2790190"/>
                    </a:xfrm>
                    <a:prstGeom prst="rect">
                      <a:avLst/>
                    </a:prstGeom>
                    <a:noFill/>
                    <a:ln>
                      <a:noFill/>
                    </a:ln>
                  </pic:spPr>
                </pic:pic>
              </a:graphicData>
            </a:graphic>
          </wp:inline>
        </w:drawing>
      </w:r>
    </w:p>
    <w:p w14:paraId="67A580E7" w14:textId="77777777" w:rsidR="00FE6F30" w:rsidRPr="00FE6F30" w:rsidRDefault="00FE6F30" w:rsidP="00FE6F30">
      <w:pPr>
        <w:spacing w:before="400" w:after="120" w:line="240" w:lineRule="auto"/>
        <w:outlineLvl w:val="0"/>
        <w:rPr>
          <w:rFonts w:ascii="Times New Roman" w:eastAsia="Times New Roman" w:hAnsi="Times New Roman" w:cs="Times New Roman"/>
          <w:b/>
          <w:bCs/>
          <w:kern w:val="36"/>
          <w:sz w:val="48"/>
          <w:szCs w:val="48"/>
          <w14:ligatures w14:val="none"/>
        </w:rPr>
      </w:pPr>
      <w:r w:rsidRPr="00FE6F30">
        <w:rPr>
          <w:rFonts w:ascii="Arial" w:eastAsia="Times New Roman" w:hAnsi="Arial" w:cs="Arial"/>
          <w:color w:val="000000"/>
          <w:kern w:val="36"/>
          <w:sz w:val="40"/>
          <w:szCs w:val="40"/>
          <w14:ligatures w14:val="none"/>
        </w:rPr>
        <w:t>Future expected conditions:</w:t>
      </w:r>
    </w:p>
    <w:p w14:paraId="534F1C2C"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color w:val="000000"/>
          <w:kern w:val="0"/>
          <w:sz w:val="22"/>
          <w:szCs w:val="22"/>
          <w14:ligatures w14:val="none"/>
        </w:rPr>
        <w:t xml:space="preserve">This location is projected to become more suitable to species X over time. This is exemplified by </w:t>
      </w:r>
      <w:r w:rsidRPr="00FE6F30">
        <w:rPr>
          <w:rFonts w:ascii="Arial" w:eastAsia="Times New Roman" w:hAnsi="Arial" w:cs="Arial"/>
          <w:b/>
          <w:bCs/>
          <w:color w:val="3A7C22" w:themeColor="accent6" w:themeShade="BF"/>
          <w:kern w:val="0"/>
          <w:sz w:val="22"/>
          <w:szCs w:val="22"/>
          <w:u w:val="single"/>
          <w14:ligatures w14:val="none"/>
        </w:rPr>
        <w:t>overall Negligible climate change risk</w:t>
      </w:r>
      <w:r w:rsidRPr="00FE6F30">
        <w:rPr>
          <w:rFonts w:ascii="Arial" w:eastAsia="Times New Roman" w:hAnsi="Arial" w:cs="Arial"/>
          <w:color w:val="3A7C22" w:themeColor="accent6" w:themeShade="BF"/>
          <w:kern w:val="0"/>
          <w:sz w:val="22"/>
          <w:szCs w:val="22"/>
          <w14:ligatures w14:val="none"/>
        </w:rPr>
        <w:t xml:space="preserve"> </w:t>
      </w:r>
      <w:r w:rsidRPr="00FE6F30">
        <w:rPr>
          <w:rFonts w:ascii="Arial" w:eastAsia="Times New Roman" w:hAnsi="Arial" w:cs="Arial"/>
          <w:color w:val="000000"/>
          <w:kern w:val="0"/>
          <w:sz w:val="22"/>
          <w:szCs w:val="22"/>
          <w14:ligatures w14:val="none"/>
        </w:rPr>
        <w:t>for the species in the selected management area, and the prediction that the area will not become intolerably warm for the species in the next 80 years</w:t>
      </w:r>
      <w:r w:rsidRPr="00FE6F30">
        <w:rPr>
          <w:rFonts w:ascii="Arial" w:eastAsia="Times New Roman" w:hAnsi="Arial" w:cs="Arial"/>
          <w:color w:val="00FF00"/>
          <w:kern w:val="0"/>
          <w:sz w:val="22"/>
          <w:szCs w:val="22"/>
          <w14:ligatures w14:val="none"/>
        </w:rPr>
        <w:t xml:space="preserve"> (</w:t>
      </w:r>
      <w:r w:rsidRPr="00FE6F30">
        <w:rPr>
          <w:rFonts w:ascii="Arial" w:eastAsia="Times New Roman" w:hAnsi="Arial" w:cs="Arial"/>
          <w:b/>
          <w:bCs/>
          <w:color w:val="3A7C22" w:themeColor="accent6" w:themeShade="BF"/>
          <w:kern w:val="0"/>
          <w:sz w:val="22"/>
          <w:szCs w:val="22"/>
          <w:u w:val="single"/>
          <w14:ligatures w14:val="none"/>
        </w:rPr>
        <w:t>time of emergence &gt; 2100),</w:t>
      </w:r>
      <w:r w:rsidRPr="00FE6F30">
        <w:rPr>
          <w:rFonts w:ascii="Arial" w:eastAsia="Times New Roman" w:hAnsi="Arial" w:cs="Arial"/>
          <w:color w:val="3A7C22" w:themeColor="accent6" w:themeShade="BF"/>
          <w:kern w:val="0"/>
          <w:sz w:val="22"/>
          <w:szCs w:val="22"/>
          <w14:ligatures w14:val="none"/>
        </w:rPr>
        <w:t xml:space="preserve"> </w:t>
      </w:r>
      <w:r w:rsidRPr="00FE6F30">
        <w:rPr>
          <w:rFonts w:ascii="Arial" w:eastAsia="Times New Roman" w:hAnsi="Arial" w:cs="Arial"/>
          <w:color w:val="000000"/>
          <w:kern w:val="0"/>
          <w:sz w:val="22"/>
          <w:szCs w:val="22"/>
          <w14:ligatures w14:val="none"/>
        </w:rPr>
        <w:t>even under a future climate scenario driven by continued increases in global greenhouse gas emissions.</w:t>
      </w:r>
    </w:p>
    <w:p w14:paraId="1CF8A04C"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i/>
          <w:iCs/>
          <w:color w:val="000000"/>
          <w:kern w:val="0"/>
          <w:sz w:val="22"/>
          <w:szCs w:val="22"/>
          <w14:ligatures w14:val="none"/>
        </w:rPr>
        <w:t>*In future, this section can also contain results from SDM projections, predicting future distribution of the species relative to the selected management area under multiple future climate change scenarios.</w:t>
      </w:r>
    </w:p>
    <w:p w14:paraId="092A550F"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p>
    <w:p w14:paraId="380DE4EF"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color w:val="000000"/>
          <w:kern w:val="0"/>
          <w:sz w:val="22"/>
          <w:szCs w:val="22"/>
          <w14:ligatures w14:val="none"/>
        </w:rPr>
        <w:t>&lt;&lt; PLACEHOLDER FOR CRIB TIME OF EMERGENCE INDEX RESULTS &gt;&gt;</w:t>
      </w:r>
    </w:p>
    <w:p w14:paraId="08147F6B"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p>
    <w:p w14:paraId="1568D024" w14:textId="77777777" w:rsidR="00FE6F30" w:rsidRPr="00FE6F30" w:rsidRDefault="00FE6F30" w:rsidP="00FE6F30">
      <w:pPr>
        <w:spacing w:before="400" w:after="120" w:line="240" w:lineRule="auto"/>
        <w:outlineLvl w:val="0"/>
        <w:rPr>
          <w:rFonts w:ascii="Times New Roman" w:eastAsia="Times New Roman" w:hAnsi="Times New Roman" w:cs="Times New Roman"/>
          <w:b/>
          <w:bCs/>
          <w:kern w:val="36"/>
          <w:sz w:val="48"/>
          <w:szCs w:val="48"/>
          <w14:ligatures w14:val="none"/>
        </w:rPr>
      </w:pPr>
      <w:r w:rsidRPr="00FE6F30">
        <w:rPr>
          <w:rFonts w:ascii="Arial" w:eastAsia="Times New Roman" w:hAnsi="Arial" w:cs="Arial"/>
          <w:color w:val="000000"/>
          <w:kern w:val="36"/>
          <w:sz w:val="40"/>
          <w:szCs w:val="40"/>
          <w14:ligatures w14:val="none"/>
        </w:rPr>
        <w:t>Potential Impacts on Fishery Objective:</w:t>
      </w:r>
    </w:p>
    <w:p w14:paraId="7105A541"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i/>
          <w:iCs/>
          <w:color w:val="000000"/>
          <w:kern w:val="0"/>
          <w:sz w:val="22"/>
          <w:szCs w:val="22"/>
          <w14:ligatures w14:val="none"/>
        </w:rPr>
        <w:t>*Note that this section will change following consultation with fisheries management end users</w:t>
      </w:r>
    </w:p>
    <w:p w14:paraId="00A1A6F4"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p>
    <w:p w14:paraId="548E8753"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b/>
          <w:bCs/>
          <w:i/>
          <w:iCs/>
          <w:color w:val="000000"/>
          <w:kern w:val="0"/>
          <w:sz w:val="22"/>
          <w:szCs w:val="22"/>
          <w14:ligatures w14:val="none"/>
        </w:rPr>
        <w:t>Example Summary: </w:t>
      </w:r>
    </w:p>
    <w:p w14:paraId="7AEA6D31"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color w:val="000000"/>
          <w:kern w:val="0"/>
          <w:sz w:val="22"/>
          <w:szCs w:val="22"/>
          <w14:ligatures w14:val="none"/>
        </w:rPr>
        <w:t xml:space="preserve">These results indicate </w:t>
      </w:r>
      <w:r w:rsidRPr="00FE6F30">
        <w:rPr>
          <w:rFonts w:ascii="Arial" w:eastAsia="Times New Roman" w:hAnsi="Arial" w:cs="Arial"/>
          <w:color w:val="3A7C22" w:themeColor="accent6" w:themeShade="BF"/>
          <w:kern w:val="0"/>
          <w:sz w:val="22"/>
          <w:szCs w:val="22"/>
          <w:u w:val="single"/>
          <w14:ligatures w14:val="none"/>
        </w:rPr>
        <w:t>Negligible Risk</w:t>
      </w:r>
      <w:r w:rsidRPr="00FE6F30">
        <w:rPr>
          <w:rFonts w:ascii="Arial" w:eastAsia="Times New Roman" w:hAnsi="Arial" w:cs="Arial"/>
          <w:color w:val="3A7C22" w:themeColor="accent6" w:themeShade="BF"/>
          <w:kern w:val="0"/>
          <w:sz w:val="22"/>
          <w:szCs w:val="22"/>
          <w14:ligatures w14:val="none"/>
        </w:rPr>
        <w:t xml:space="preserve"> </w:t>
      </w:r>
      <w:r w:rsidRPr="00FE6F30">
        <w:rPr>
          <w:rFonts w:ascii="Arial" w:eastAsia="Times New Roman" w:hAnsi="Arial" w:cs="Arial"/>
          <w:color w:val="000000"/>
          <w:kern w:val="0"/>
          <w:sz w:val="22"/>
          <w:szCs w:val="22"/>
          <w14:ligatures w14:val="none"/>
        </w:rPr>
        <w:t xml:space="preserve">of negative climate impact on SSB​ for this species in the selected management area in the next 5-10 years (probability = X% and X% under high and low future emissions scenarios, respectively), particularly given general overall expansion of the species in Canadian waters (Region1 and reference Region2). Lack of shift in depth distribution indicates no changes to existing fishing strategies are needed. If no existing fishery exists for Species X in Region1, then the </w:t>
      </w:r>
      <w:hyperlink r:id="rId7" w:history="1">
        <w:r w:rsidRPr="00FE6F30">
          <w:rPr>
            <w:rFonts w:ascii="Arial" w:eastAsia="Times New Roman" w:hAnsi="Arial" w:cs="Arial"/>
            <w:color w:val="1155CC"/>
            <w:kern w:val="0"/>
            <w:sz w:val="22"/>
            <w:szCs w:val="22"/>
            <w:u w:val="single"/>
            <w14:ligatures w14:val="none"/>
          </w:rPr>
          <w:t>policy for new and eme</w:t>
        </w:r>
        <w:r w:rsidRPr="00FE6F30">
          <w:rPr>
            <w:rFonts w:ascii="Arial" w:eastAsia="Times New Roman" w:hAnsi="Arial" w:cs="Arial"/>
            <w:color w:val="1155CC"/>
            <w:kern w:val="0"/>
            <w:sz w:val="22"/>
            <w:szCs w:val="22"/>
            <w:u w:val="single"/>
            <w14:ligatures w14:val="none"/>
          </w:rPr>
          <w:t>r</w:t>
        </w:r>
        <w:r w:rsidRPr="00FE6F30">
          <w:rPr>
            <w:rFonts w:ascii="Arial" w:eastAsia="Times New Roman" w:hAnsi="Arial" w:cs="Arial"/>
            <w:color w:val="1155CC"/>
            <w:kern w:val="0"/>
            <w:sz w:val="22"/>
            <w:szCs w:val="22"/>
            <w:u w:val="single"/>
            <w14:ligatures w14:val="none"/>
          </w:rPr>
          <w:t>ging fisheries</w:t>
        </w:r>
      </w:hyperlink>
      <w:r w:rsidRPr="00FE6F30">
        <w:rPr>
          <w:rFonts w:ascii="Arial" w:eastAsia="Times New Roman" w:hAnsi="Arial" w:cs="Arial"/>
          <w:color w:val="000000"/>
          <w:kern w:val="0"/>
          <w:sz w:val="22"/>
          <w:szCs w:val="22"/>
          <w14:ligatures w14:val="none"/>
        </w:rPr>
        <w:t xml:space="preserve"> may be consulted for consideration.</w:t>
      </w:r>
    </w:p>
    <w:p w14:paraId="0E6BE7A4"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p>
    <w:p w14:paraId="5CA23559" w14:textId="77777777" w:rsidR="00FE6F30" w:rsidRPr="00FE6F30" w:rsidRDefault="00FE6F30" w:rsidP="00FE6F30">
      <w:pPr>
        <w:spacing w:after="0" w:line="240" w:lineRule="auto"/>
        <w:rPr>
          <w:rFonts w:ascii="Times New Roman" w:eastAsia="Times New Roman" w:hAnsi="Times New Roman" w:cs="Times New Roman"/>
          <w:kern w:val="0"/>
          <w14:ligatures w14:val="none"/>
        </w:rPr>
      </w:pPr>
      <w:r w:rsidRPr="00FE6F30">
        <w:rPr>
          <w:rFonts w:ascii="Arial" w:eastAsia="Times New Roman" w:hAnsi="Arial" w:cs="Arial"/>
          <w:i/>
          <w:iCs/>
          <w:color w:val="000000"/>
          <w:kern w:val="0"/>
          <w:sz w:val="22"/>
          <w:szCs w:val="22"/>
          <w14:ligatures w14:val="none"/>
        </w:rPr>
        <w:t>This section will provide a summary of DSAF assessment results to support fisheries managers in answering critical questions, which may include the following:</w:t>
      </w:r>
    </w:p>
    <w:p w14:paraId="55E58F11" w14:textId="77777777" w:rsidR="00FE6F30" w:rsidRPr="00FE6F30" w:rsidRDefault="00FE6F30" w:rsidP="00FE6F30">
      <w:pPr>
        <w:numPr>
          <w:ilvl w:val="0"/>
          <w:numId w:val="1"/>
        </w:numPr>
        <w:spacing w:after="0" w:line="240" w:lineRule="auto"/>
        <w:textAlignment w:val="baseline"/>
        <w:rPr>
          <w:rFonts w:ascii="Arial" w:eastAsia="Times New Roman" w:hAnsi="Arial" w:cs="Arial"/>
          <w:i/>
          <w:iCs/>
          <w:color w:val="000000"/>
          <w:kern w:val="0"/>
          <w:sz w:val="22"/>
          <w:szCs w:val="22"/>
          <w14:ligatures w14:val="none"/>
        </w:rPr>
      </w:pPr>
      <w:r w:rsidRPr="00FE6F30">
        <w:rPr>
          <w:rFonts w:ascii="Arial" w:eastAsia="Times New Roman" w:hAnsi="Arial" w:cs="Arial"/>
          <w:i/>
          <w:iCs/>
          <w:color w:val="000000"/>
          <w:kern w:val="0"/>
          <w:sz w:val="22"/>
          <w:szCs w:val="22"/>
          <w14:ligatures w14:val="none"/>
        </w:rPr>
        <w:lastRenderedPageBreak/>
        <w:t>Is the species shifting relative to selected fisheries management area(s)? If so, which areas and how (moving into or out of the area)?</w:t>
      </w:r>
    </w:p>
    <w:p w14:paraId="62AE630E" w14:textId="77777777" w:rsidR="00FE6F30" w:rsidRPr="00FE6F30" w:rsidRDefault="00FE6F30" w:rsidP="00FE6F30">
      <w:pPr>
        <w:numPr>
          <w:ilvl w:val="1"/>
          <w:numId w:val="2"/>
        </w:numPr>
        <w:spacing w:after="0" w:line="240" w:lineRule="auto"/>
        <w:textAlignment w:val="baseline"/>
        <w:rPr>
          <w:rFonts w:ascii="Arial" w:eastAsia="Times New Roman" w:hAnsi="Arial" w:cs="Arial"/>
          <w:i/>
          <w:iCs/>
          <w:color w:val="000000"/>
          <w:kern w:val="0"/>
          <w:sz w:val="22"/>
          <w:szCs w:val="22"/>
          <w14:ligatures w14:val="none"/>
        </w:rPr>
      </w:pPr>
      <w:r w:rsidRPr="00FE6F30">
        <w:rPr>
          <w:rFonts w:ascii="Arial" w:eastAsia="Times New Roman" w:hAnsi="Arial" w:cs="Arial"/>
          <w:i/>
          <w:iCs/>
          <w:color w:val="000000"/>
          <w:kern w:val="0"/>
          <w:sz w:val="22"/>
          <w:szCs w:val="22"/>
          <w14:ligatures w14:val="none"/>
        </w:rPr>
        <w:t>Is stock likely to persist or disappear from area?</w:t>
      </w:r>
    </w:p>
    <w:p w14:paraId="571AEECB" w14:textId="77777777" w:rsidR="00FE6F30" w:rsidRPr="00FE6F30" w:rsidRDefault="00FE6F30" w:rsidP="00FE6F30">
      <w:pPr>
        <w:numPr>
          <w:ilvl w:val="0"/>
          <w:numId w:val="1"/>
        </w:numPr>
        <w:spacing w:after="0" w:line="240" w:lineRule="auto"/>
        <w:textAlignment w:val="baseline"/>
        <w:rPr>
          <w:rFonts w:ascii="Arial" w:eastAsia="Times New Roman" w:hAnsi="Arial" w:cs="Arial"/>
          <w:i/>
          <w:iCs/>
          <w:color w:val="000000"/>
          <w:kern w:val="0"/>
          <w:sz w:val="22"/>
          <w:szCs w:val="22"/>
          <w14:ligatures w14:val="none"/>
        </w:rPr>
      </w:pPr>
      <w:r w:rsidRPr="00FE6F30">
        <w:rPr>
          <w:rFonts w:ascii="Arial" w:eastAsia="Times New Roman" w:hAnsi="Arial" w:cs="Arial"/>
          <w:i/>
          <w:iCs/>
          <w:color w:val="000000"/>
          <w:kern w:val="0"/>
          <w:sz w:val="22"/>
          <w:szCs w:val="22"/>
          <w14:ligatures w14:val="none"/>
        </w:rPr>
        <w:t>If not currently shifting relative to the selected area, what is the expectation of when the species will shift in or out?</w:t>
      </w:r>
    </w:p>
    <w:p w14:paraId="3F47D25D" w14:textId="77777777" w:rsidR="00FE6F30" w:rsidRPr="00FE6F30" w:rsidRDefault="00FE6F30" w:rsidP="00FE6F30">
      <w:pPr>
        <w:numPr>
          <w:ilvl w:val="1"/>
          <w:numId w:val="3"/>
        </w:numPr>
        <w:spacing w:after="0" w:line="240" w:lineRule="auto"/>
        <w:textAlignment w:val="baseline"/>
        <w:rPr>
          <w:rFonts w:ascii="Arial" w:eastAsia="Times New Roman" w:hAnsi="Arial" w:cs="Arial"/>
          <w:i/>
          <w:iCs/>
          <w:color w:val="000000"/>
          <w:kern w:val="0"/>
          <w:sz w:val="22"/>
          <w:szCs w:val="22"/>
          <w14:ligatures w14:val="none"/>
        </w:rPr>
      </w:pPr>
      <w:r w:rsidRPr="00FE6F30">
        <w:rPr>
          <w:rFonts w:ascii="Arial" w:eastAsia="Times New Roman" w:hAnsi="Arial" w:cs="Arial"/>
          <w:i/>
          <w:iCs/>
          <w:color w:val="000000"/>
          <w:kern w:val="0"/>
          <w:sz w:val="22"/>
          <w:szCs w:val="22"/>
          <w14:ligatures w14:val="none"/>
        </w:rPr>
        <w:t>When will area become too warm or just right for the stock?</w:t>
      </w:r>
    </w:p>
    <w:p w14:paraId="415E13D9" w14:textId="77777777" w:rsidR="00FE6F30" w:rsidRPr="00FE6F30" w:rsidRDefault="00FE6F30" w:rsidP="00FE6F30">
      <w:pPr>
        <w:numPr>
          <w:ilvl w:val="0"/>
          <w:numId w:val="1"/>
        </w:numPr>
        <w:spacing w:after="0" w:line="240" w:lineRule="auto"/>
        <w:textAlignment w:val="baseline"/>
        <w:rPr>
          <w:rFonts w:ascii="Arial" w:eastAsia="Times New Roman" w:hAnsi="Arial" w:cs="Arial"/>
          <w:i/>
          <w:iCs/>
          <w:color w:val="000000"/>
          <w:kern w:val="0"/>
          <w:sz w:val="22"/>
          <w:szCs w:val="22"/>
          <w14:ligatures w14:val="none"/>
        </w:rPr>
      </w:pPr>
      <w:r w:rsidRPr="00FE6F30">
        <w:rPr>
          <w:rFonts w:ascii="Arial" w:eastAsia="Times New Roman" w:hAnsi="Arial" w:cs="Arial"/>
          <w:i/>
          <w:iCs/>
          <w:color w:val="000000"/>
          <w:kern w:val="0"/>
          <w:sz w:val="22"/>
          <w:szCs w:val="22"/>
          <w14:ligatures w14:val="none"/>
        </w:rPr>
        <w:t>What is the uncertainty associated with modelled current and future trends?</w:t>
      </w:r>
    </w:p>
    <w:p w14:paraId="512C5268" w14:textId="77777777" w:rsidR="00FE6F30" w:rsidRPr="00FE6F30" w:rsidRDefault="00FE6F30" w:rsidP="00FE6F30">
      <w:pPr>
        <w:numPr>
          <w:ilvl w:val="0"/>
          <w:numId w:val="1"/>
        </w:numPr>
        <w:spacing w:after="0" w:line="240" w:lineRule="auto"/>
        <w:textAlignment w:val="baseline"/>
        <w:rPr>
          <w:rFonts w:ascii="Arial" w:eastAsia="Times New Roman" w:hAnsi="Arial" w:cs="Arial"/>
          <w:i/>
          <w:iCs/>
          <w:color w:val="000000"/>
          <w:kern w:val="0"/>
          <w:sz w:val="22"/>
          <w:szCs w:val="22"/>
          <w14:ligatures w14:val="none"/>
        </w:rPr>
      </w:pPr>
      <w:r w:rsidRPr="00FE6F30">
        <w:rPr>
          <w:rFonts w:ascii="Arial" w:eastAsia="Times New Roman" w:hAnsi="Arial" w:cs="Arial"/>
          <w:i/>
          <w:iCs/>
          <w:color w:val="000000"/>
          <w:kern w:val="0"/>
          <w:sz w:val="22"/>
          <w:szCs w:val="22"/>
          <w14:ligatures w14:val="none"/>
        </w:rPr>
        <w:t>What is level of risk we are willing to accept before modifying recommendations for the management of Species X in Region1?</w:t>
      </w:r>
    </w:p>
    <w:p w14:paraId="2C62532C" w14:textId="77777777" w:rsidR="008251C0" w:rsidRPr="00FE6F30" w:rsidRDefault="008251C0" w:rsidP="00FE6F30"/>
    <w:sectPr w:rsidR="008251C0" w:rsidRPr="00FE6F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437"/>
    <w:multiLevelType w:val="multilevel"/>
    <w:tmpl w:val="DB50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827362">
    <w:abstractNumId w:val="0"/>
  </w:num>
  <w:num w:numId="2" w16cid:durableId="870528635">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427042662">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30"/>
    <w:rsid w:val="0029745F"/>
    <w:rsid w:val="0055458F"/>
    <w:rsid w:val="008251C0"/>
    <w:rsid w:val="00C23E39"/>
    <w:rsid w:val="00C8328C"/>
    <w:rsid w:val="00CC7513"/>
    <w:rsid w:val="00E63107"/>
    <w:rsid w:val="00EB5923"/>
    <w:rsid w:val="00FE6F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4361B9"/>
  <w15:chartTrackingRefBased/>
  <w15:docId w15:val="{8E79C136-3FB5-104B-9D09-CD497D98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30"/>
    <w:rPr>
      <w:rFonts w:eastAsiaTheme="majorEastAsia" w:cstheme="majorBidi"/>
      <w:color w:val="272727" w:themeColor="text1" w:themeTint="D8"/>
    </w:rPr>
  </w:style>
  <w:style w:type="paragraph" w:styleId="Title">
    <w:name w:val="Title"/>
    <w:basedOn w:val="Normal"/>
    <w:next w:val="Normal"/>
    <w:link w:val="TitleChar"/>
    <w:uiPriority w:val="10"/>
    <w:qFormat/>
    <w:rsid w:val="00FE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30"/>
    <w:pPr>
      <w:spacing w:before="160"/>
      <w:jc w:val="center"/>
    </w:pPr>
    <w:rPr>
      <w:i/>
      <w:iCs/>
      <w:color w:val="404040" w:themeColor="text1" w:themeTint="BF"/>
    </w:rPr>
  </w:style>
  <w:style w:type="character" w:customStyle="1" w:styleId="QuoteChar">
    <w:name w:val="Quote Char"/>
    <w:basedOn w:val="DefaultParagraphFont"/>
    <w:link w:val="Quote"/>
    <w:uiPriority w:val="29"/>
    <w:rsid w:val="00FE6F30"/>
    <w:rPr>
      <w:i/>
      <w:iCs/>
      <w:color w:val="404040" w:themeColor="text1" w:themeTint="BF"/>
    </w:rPr>
  </w:style>
  <w:style w:type="paragraph" w:styleId="ListParagraph">
    <w:name w:val="List Paragraph"/>
    <w:basedOn w:val="Normal"/>
    <w:uiPriority w:val="34"/>
    <w:qFormat/>
    <w:rsid w:val="00FE6F30"/>
    <w:pPr>
      <w:ind w:left="720"/>
      <w:contextualSpacing/>
    </w:pPr>
  </w:style>
  <w:style w:type="character" w:styleId="IntenseEmphasis">
    <w:name w:val="Intense Emphasis"/>
    <w:basedOn w:val="DefaultParagraphFont"/>
    <w:uiPriority w:val="21"/>
    <w:qFormat/>
    <w:rsid w:val="00FE6F30"/>
    <w:rPr>
      <w:i/>
      <w:iCs/>
      <w:color w:val="0F4761" w:themeColor="accent1" w:themeShade="BF"/>
    </w:rPr>
  </w:style>
  <w:style w:type="paragraph" w:styleId="IntenseQuote">
    <w:name w:val="Intense Quote"/>
    <w:basedOn w:val="Normal"/>
    <w:next w:val="Normal"/>
    <w:link w:val="IntenseQuoteChar"/>
    <w:uiPriority w:val="30"/>
    <w:qFormat/>
    <w:rsid w:val="00FE6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F30"/>
    <w:rPr>
      <w:i/>
      <w:iCs/>
      <w:color w:val="0F4761" w:themeColor="accent1" w:themeShade="BF"/>
    </w:rPr>
  </w:style>
  <w:style w:type="character" w:styleId="IntenseReference">
    <w:name w:val="Intense Reference"/>
    <w:basedOn w:val="DefaultParagraphFont"/>
    <w:uiPriority w:val="32"/>
    <w:qFormat/>
    <w:rsid w:val="00FE6F30"/>
    <w:rPr>
      <w:b/>
      <w:bCs/>
      <w:smallCaps/>
      <w:color w:val="0F4761" w:themeColor="accent1" w:themeShade="BF"/>
      <w:spacing w:val="5"/>
    </w:rPr>
  </w:style>
  <w:style w:type="paragraph" w:styleId="NormalWeb">
    <w:name w:val="Normal (Web)"/>
    <w:basedOn w:val="Normal"/>
    <w:uiPriority w:val="99"/>
    <w:semiHidden/>
    <w:unhideWhenUsed/>
    <w:rsid w:val="00FE6F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E6F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fo-mpo.gc.ca/reports-rapports/regs/efp-pnp-eng.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Lawlor</dc:creator>
  <cp:keywords/>
  <dc:description/>
  <cp:lastModifiedBy>Jake Lawlor</cp:lastModifiedBy>
  <cp:revision>1</cp:revision>
  <dcterms:created xsi:type="dcterms:W3CDTF">2025-12-04T15:27:00Z</dcterms:created>
  <dcterms:modified xsi:type="dcterms:W3CDTF">2025-12-04T16:16:00Z</dcterms:modified>
</cp:coreProperties>
</file>