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Synthetic conversational queries mutate eligibility conditions in insurance RAG.</w:t>
      </w:r>
    </w:p>
    <w:p>
      <w:pPr>
        <w:pStyle w:val="ListBullet"/>
      </w:pPr>
      <w:r>
        <w:t>Zero-call reachability verification slashes RAG evaluation MAE from 0.66 to 0.09.</w:t>
      </w:r>
    </w:p>
    <w:p>
      <w:pPr>
        <w:pStyle w:val="ListBullet"/>
      </w:pPr>
      <w:r>
        <w:t>System selection ranking inversions flip to positive concordance without LLM calls.</w:t>
      </w:r>
    </w:p>
    <w:p>
      <w:pPr>
        <w:pStyle w:val="ListBullet"/>
      </w:pPr>
      <w:r>
        <w:t>Closed-loop slot-guard repair achieves 98.86% deterministic symbolic validity.</w:t>
      </w:r>
    </w:p>
    <w:p>
      <w:pPr>
        <w:pStyle w:val="ListBullet"/>
      </w:pPr>
      <w:r>
        <w:t>Demonstrated across 26 real insurance contracts and 9 end-to-end cloud RAG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