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Submission Cover Letter</w:t>
      </w:r>
    </w:p>
    <w:p>
      <w:r>
        <w:t>Dear Editor-in-Chief and Editorial Board,</w:t>
      </w:r>
    </w:p>
    <w:p>
      <w:r>
        <w:t>We are pleased to submit our original research manuscript entitled "Do Synthetic Queries Preserve Insurance Eligibility Decisions? Decision-Preserving Verification and Repair for Vertical RAG" for consideration for publication as a Full Length Article in Expert Systems with Applications.</w:t>
      </w:r>
    </w:p>
    <w:p>
      <w:r>
        <w:t>In rule-governed vertical domains such as insurance underwriting, healthcare eligibility, and regulatory compliance, industrial engineering teams routinely rely on instruction-tuned Large Language Models (LLMs) to synthesize evaluation queries from contract clauses due to a lack of anonymized real user logs. However, existing benchmark construction pipelines prioritize retrieval hit rate and conversational fluency, overlooking whether critical legal qualification conditions are preserved.</w:t>
      </w:r>
    </w:p>
    <w:p>
      <w:r>
        <w:t>In this work, we demonstrate that unconstrained conversational query synthesis achieves high Top-1 retrieval while suffering 77.5%–85.0% decision degradation. When deployed to evaluate nine real end-to-end cloud LLM RAG pipelines, this synthetic label corruption systematically penalizes prudent abstention-capable systems and reverses downstream system rankings (Kendall's tau = -0.8792 on Qwen-Plus and -0.6973 on DeepSeek).</w:t>
      </w:r>
    </w:p>
    <w:p>
      <w:r>
        <w:t>To address this challenge, we introduce a neuro-symbolic reachability verification and slot-guard repair framework grounded in 26 official Chinese commercial insurance policy PDFs and 8 multi-threshold rule families:</w:t>
        <w:br/>
        <w:t>1. We formalize eligibility clauses into threshold-partitioned reachability equivalence regions, separating surface slot completeness from reference-independent decision determinacy.</w:t>
        <w:br/>
        <w:t>2. We demonstrate that zero-call symbolic reachability detection and dynamic label re-certification (with zero additional LLM calls and no query editing) slashes single-arm RAG evaluation MAE from 0.6556 down to 0.0936 (an 85.7% error reduction, flipping rank correlation tau from -0.8792 to +0.9062), and on an 80-query mixed uncurated pool from 0.3292 down to 0.0504 (outperforming a constant-CLARIFY counter-baseline at MAE 0.4222 by 88.1%).</w:t>
        <w:br/>
        <w:t>3. We provide a 4-stage marginal gain decomposition across all 176 pooled pairs (88 seeds across 25 clause clusters and 21 independent source documents), demonstrating that targeted second-pass repair reaches 98.86% deterministic symbolic validity (p_Holm_doc &lt;= 0.015625 against all six baselines).</w:t>
        <w:br/>
        <w:t>4. All experiments are verified with a dual-mode 3-flagship adjudication panel (Kimi-K3, DeepSeek-V4-Pro, Qwen3.8-Max), 9 end-to-end cloud LLM RAG pipelines, an independent 48-query External Holdout Benchmark, and an uncontaminated 17-PDF zero-shot schema extraction audit.</w:t>
      </w:r>
    </w:p>
    <w:p>
      <w:r>
        <w:t>The entire study is 100% reproducible with 36 deterministic unit tests and offline rescoring scripts publicly available at https://github.com/jakelihua/chinese-insurance-rag-benchmark.</w:t>
      </w:r>
    </w:p>
    <w:p>
      <w:r>
        <w:t>We confirm that this manuscript is original, has not been published previously, and is not under consideration for publication elsewhere. All authors have approved the submission.</w:t>
      </w:r>
    </w:p>
    <w:p>
      <w:r>
        <w:t>Thank you very much for your time and consideration of our work.</w:t>
      </w:r>
    </w:p>
    <w:p>
      <w:r>
        <w:t>Sincerely,</w:t>
      </w:r>
    </w:p>
    <w:p>
      <w:r>
        <w:t>Shunchi Wang</w:t>
        <w:br/>
        <w:t>Independent Researcher</w:t>
        <w:br/>
        <w:t>Email: jakelihua@gmail.com</w:t>
        <w:br/>
        <w:t>ORCID: https://orcid.org/0009-0009-8629-2078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