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October 28, 2026</w:t>
      </w:r>
    </w:p>
    <w:p>
      <w:r>
        <w:t>Editorial Board</w:t>
        <w:br/>
        <w:t>Expert Systems with Applications / Information Processing &amp; Management</w:t>
        <w:br/>
        <w:t>Elsevier</w:t>
      </w:r>
    </w:p>
    <w:p>
      <w:r>
        <w:t>Subject: Submission of Original Research Article: "Do Synthetic Queries Preserve Insurance Eligibility Decisions? Clause-Grounded Verification, Repair, and RAG Evaluation Integrity"</w:t>
      </w:r>
    </w:p>
    <w:p>
      <w:r>
        <w:t>Dear Editors,</w:t>
      </w:r>
    </w:p>
    <w:p>
      <w:r>
        <w:t>Please find enclosed our original research manuscript, "Do Synthetic Queries Preserve Insurance Eligibility Decisions? Clause-Grounded Verification, Repair, and RAG Evaluation Integrity," by Shunchi Wang, for consideration for publication as a Regular Research Paper.</w:t>
      </w:r>
    </w:p>
    <w:p>
      <w:r>
        <w:t>Retrieval-augmented generation (RAG) benchmarks in regulated domains such as insurance, healthcare, and law increasingly rely on instruction-tuned large language models (LLMs) to synthesize user test queries from source clauses. In this study, we identify and formalize a critical failure mode in synthetic RAG benchmarking: Retrieval-Preserving Decision Drift. Across 36 official Chinese insurance policy contracts spanning 10 insurers, a 1,000-clause external Chinese insurance pool and 50 real user queries from Fudan University's open-source InsQABench benchmark, and 9 end-to-end cloud LLM RAG pipelines (4,067 cached reader evaluations), we show that unconstrained conversational rewrites achieve high retrieval recall yet omit or alter threshold and exception conditions in 97.5%–100.0% of queries. Crucially, inheriting the source seed's binary eligibility label on such underspecified queries penalizes safety-aligned abstaining RAG readers and systematically inverts system rankings (Kendall's tau = -0.8792 on Qwen-Plus and -0.6973 on DeepSeek; MAE up to 0.6556).</w:t>
      </w:r>
    </w:p>
    <w:p>
      <w:r>
        <w:t>To resolve this benchmark contamination, we develop a clause-grounded symbolic reachability verifier and a 4-stage verification-and-repair framework:</w:t>
      </w:r>
    </w:p>
    <w:p>
      <w:r>
        <w:t>1. Zero-Call Symbolic Reachability Re-Certification (zero_call_verifier_dynamic_relabel): Without making any additional LLM calls or editing query text, our forward reachability verifier dynamically re-certifies underspecified queries to CLARIFY and filters threshold-mutated or parse-uncertain queries, slashing single-arm RAG evaluation MAE from 0.6556 to 0.0936 (Qwen-Plus, 38/40 accepted, tau = +0.9062) and from 0.5250 to 0.1222 (DeepSeek, 40/40 accepted, tau = +0.7812), and reducing MAE on a realistic 80-query mixed uncurated pool from 0.3292 to 0.0504 (Qwen-Plus, 75/80 accepted) and from 0.2986 to 0.0816 (DeepSeek, 79/80 accepted), where a trivial constant-CLARIFY baseline fails (MAE 0.4222 / 0.4333).</w:t>
      </w:r>
    </w:p>
    <w:p>
      <w:r>
        <w:t>2. Targeted Diagnostic Repair (slot_guard_repair): Across all 88 seeds and 2 model families (N=176 pairs across 25 clause clusters and 21 source documents), parser-guided second-pass repair achieves 98.86% (174/176) strict symbolic usability, outperforming all 6 LLM baselines with zero discordant losses (all 6 Holm-adjusted document-cluster p &lt;= 0.015625).</w:t>
      </w:r>
    </w:p>
    <w:p>
      <w:r>
        <w:t>3. Large-Scale Retrieval &amp; Multi-Insurer Generalization: On a 1,000-clause pool combining our confirmation passages with 952 external clauses from Fudan University's InsQABench, LLM rewriting improves title-masked dense retrieval MRR by +92.5% over raw templates (0.4408 vs. 0.2290), achieves 94.00% (47/50, kappa = 0.9032) decision agreement on 50 real InsQABench user queries, and reaches 27/27 (100.0%) symbolic waiting-period schema extraction across 27 waiting-period contracts from 10 insurers.</w:t>
      </w:r>
    </w:p>
    <w:p>
      <w:r>
        <w:t>All code, character-level PDF bounding-box anchors, cached model generations, and deterministic offline verification scripts are publicly available at https://github.com/wangshunchi/insurance-rag-decision-preservation and archived on Zenodo (https://doi.org/10.5281/zenodo.19655712). This manuscript is original, has not been published previously, and is not under consideration elsewhere. The author declares no competing financial or personal interests.</w:t>
      </w:r>
    </w:p>
    <w:p>
      <w:r>
        <w:t>Thank you for your time and consideration.</w:t>
      </w:r>
    </w:p>
    <w:p>
      <w:r>
        <w:t>Sincerely,</w:t>
        <w:br/>
        <w:br/>
        <w:t>Shunchi Wang</w:t>
        <w:br/>
        <w:t>Independent Researcher</w:t>
        <w:br/>
        <w:t>Email: jakelihua@gmail.com</w:t>
        <w:br/>
        <w:t>GitHub: https://github.com/wangshunchi/insurance-rag-decision-preservation</w:t>
        <w:br/>
        <w:t>Zenodo DOI: https://doi.org/10.5281/zenodo.19655712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