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Highlights</w:t>
      </w:r>
    </w:p>
    <w:p>
      <w:pPr>
        <w:pStyle w:val="ListBullet"/>
      </w:pPr>
      <w:r>
        <w:t>Unverified LLM queries retrieve clauses yet drop conditions and invert RAG rankings.</w:t>
      </w:r>
    </w:p>
    <w:p>
      <w:pPr>
        <w:pStyle w:val="ListBullet"/>
      </w:pPr>
      <w:r>
        <w:t>Zero-call symbolic reachability re-certifies labels and cuts RAG MAE by over 76%.</w:t>
      </w:r>
    </w:p>
    <w:p>
      <w:pPr>
        <w:pStyle w:val="ListBullet"/>
      </w:pPr>
      <w:r>
        <w:t>Targeted slot-guard repair reaches 98.86% symbolic usability across 176 model pairs.</w:t>
      </w:r>
    </w:p>
    <w:p>
      <w:pPr>
        <w:pStyle w:val="ListBullet"/>
      </w:pPr>
      <w:r>
        <w:t>Validated across 36 official policies from 10 insurers and 1,000 InsQABench clauses.</w:t>
      </w:r>
    </w:p>
    <w:p>
      <w:pPr>
        <w:pStyle w:val="ListBullet"/>
      </w:pPr>
      <w:r>
        <w:t>Symbolic waiting-period compiler achieves 100% extraction across 27 policy contracts.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