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Стеки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ind w:hanging="0"/>
        <w:jc w:val="both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ab/>
        <w:tab/>
        <w:t>Создать структуру стека, которая сможет добавлять и удалять элементы, а также дополнительные функции для работы со стеком.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FF"/>
          <w:sz w:val="19"/>
          <w:szCs w:val="24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top;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~Stack();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peek();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isFull();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arr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capacity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top =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::~Stack()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::push(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(isFull())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"Overflow\nProgram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"Inserting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arr[++top]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::pop()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"Removing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peek()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arr[top--];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::peek()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(!isEmpty())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arr[top];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::size()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::isEmpty()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== -1;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::isFull()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top == capacity - 1;;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 xml:space="preserve"> pt(3);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pt.push(1);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pt.push(2);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pt.pop();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pt.pop();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pt.push(3);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top element is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pt.peek()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stack size is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pt.size()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pt.pop();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(pt.isEmpty())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stack is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stack is not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702175" cy="291211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numbering" w:styleId="WW8Num114">
    <w:name w:val="WW8Num1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LibreOffice/7.3.4.2$Windows_X86_64 LibreOffice_project/728fec16bd5f605073805c3c9e7c4212a0120dc5</Application>
  <AppVersion>15.0000</AppVersion>
  <Pages>8</Pages>
  <Words>320</Words>
  <Characters>1933</Characters>
  <CharactersWithSpaces>2386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2023-04-09T20:56:35Z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