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684F0" w14:textId="77777777" w:rsidR="007C021B" w:rsidRDefault="007C021B" w:rsidP="007C021B">
      <w:pPr>
        <w:rPr>
          <w:b/>
          <w:bCs/>
          <w:u w:val="single"/>
        </w:rPr>
      </w:pPr>
      <w:r w:rsidRPr="007C021B">
        <w:rPr>
          <w:b/>
          <w:bCs/>
          <w:u w:val="single"/>
        </w:rPr>
        <w:t>Supplemental Methods</w:t>
      </w:r>
    </w:p>
    <w:p w14:paraId="147FFF47" w14:textId="023B7869" w:rsidR="0019361C" w:rsidRPr="007C021B" w:rsidRDefault="0019361C" w:rsidP="007C021B">
      <w:r>
        <w:rPr>
          <w:u w:val="single"/>
        </w:rPr>
        <w:t xml:space="preserve">Sample Processing for </w:t>
      </w:r>
      <w:r w:rsidR="00F52BB3">
        <w:rPr>
          <w:u w:val="single"/>
        </w:rPr>
        <w:t>metabarcoding</w:t>
      </w:r>
    </w:p>
    <w:p w14:paraId="5304A61B" w14:textId="59E11ED6" w:rsidR="007C021B" w:rsidRPr="007C021B" w:rsidRDefault="007C021B" w:rsidP="007C021B">
      <w:r w:rsidRPr="007C021B">
        <w:t xml:space="preserve">We hand-homogenized </w:t>
      </w:r>
      <w:proofErr w:type="spellStart"/>
      <w:r w:rsidRPr="007C021B">
        <w:t>unsieved</w:t>
      </w:r>
      <w:proofErr w:type="spellEnd"/>
      <w:r w:rsidRPr="007C021B">
        <w:t xml:space="preserve"> soil samples from the northern and southern plots of each tree. Using soil sieves and tap water, we washed away the soil and picked out fine roots of woody plants, examined them under a stereoscope for evidence of ectomycorrhizal colonization, then combined subsamples from the north and south plots into a single sample, before drying them at 52°C for 24 h.  We stored </w:t>
      </w:r>
      <w:r w:rsidR="0019361C">
        <w:t xml:space="preserve">dried </w:t>
      </w:r>
      <w:r w:rsidRPr="007C021B">
        <w:t>root samples at room temperature during shipping and then froze them at -20°C following arrival. We ground dried root samples cryogenically with liquid nitrogen in a mortar and pestle. </w:t>
      </w:r>
    </w:p>
    <w:p w14:paraId="746533B8" w14:textId="77777777" w:rsidR="007C021B" w:rsidRPr="007C021B" w:rsidRDefault="007C021B" w:rsidP="007C021B">
      <w:r w:rsidRPr="007C021B">
        <w:rPr>
          <w:u w:val="single"/>
        </w:rPr>
        <w:t>DNA Extraction</w:t>
      </w:r>
    </w:p>
    <w:p w14:paraId="697E18D8" w14:textId="77777777" w:rsidR="007C021B" w:rsidRPr="007C021B" w:rsidRDefault="007C021B" w:rsidP="007C021B">
      <w:r w:rsidRPr="007C021B">
        <w:t xml:space="preserve">We extracted DNA of roots and soil samples with the Qiagen </w:t>
      </w:r>
      <w:proofErr w:type="spellStart"/>
      <w:r w:rsidRPr="007C021B">
        <w:t>PowerSoil</w:t>
      </w:r>
      <w:proofErr w:type="spellEnd"/>
      <w:r w:rsidRPr="007C021B">
        <w:t xml:space="preserve"> Kit (QIAGEN 2023) following the protocol as </w:t>
      </w:r>
      <w:proofErr w:type="gramStart"/>
      <w:r w:rsidRPr="007C021B">
        <w:t>written, but</w:t>
      </w:r>
      <w:proofErr w:type="gramEnd"/>
      <w:r w:rsidRPr="007C021B">
        <w:t xml:space="preserve"> reducing the amount of input material to 50 mg for roots and to 150 mg for soil, and performed 1 min of bead beating in the lysis buffer with a </w:t>
      </w:r>
      <w:proofErr w:type="spellStart"/>
      <w:r w:rsidRPr="007C021B">
        <w:t>BioSpec</w:t>
      </w:r>
      <w:proofErr w:type="spellEnd"/>
      <w:r w:rsidRPr="007C021B">
        <w:t xml:space="preserve"> Products MiniBeadBeater-16 followed by a 10 min incubation at room temperature. Duplicate extractions were performed on root samples and single extractions on soil samples for a total of 72 DNA extractions.</w:t>
      </w:r>
    </w:p>
    <w:p w14:paraId="258C122D" w14:textId="4DB36FCF" w:rsidR="007C021B" w:rsidRPr="007C021B" w:rsidRDefault="007C021B" w:rsidP="007C021B">
      <w:r w:rsidRPr="007C021B">
        <w:t xml:space="preserve">We prepared amplicon sequencing libraries using </w:t>
      </w:r>
      <w:r w:rsidR="00344E9D">
        <w:t>degenerate primer mixes</w:t>
      </w:r>
      <w:r w:rsidRPr="007C021B">
        <w:t xml:space="preserve"> ITS3NGS and ITS4NGR to amplify ITS2</w:t>
      </w:r>
      <w:r w:rsidR="00344E9D">
        <w:t xml:space="preserve"> (described in Cregger et al 2018;</w:t>
      </w:r>
      <w:r w:rsidR="00F86616">
        <w:t xml:space="preserve"> White et al. 1990; </w:t>
      </w:r>
      <w:proofErr w:type="spellStart"/>
      <w:r w:rsidR="00F86616">
        <w:t>Tedersoo</w:t>
      </w:r>
      <w:proofErr w:type="spellEnd"/>
      <w:r w:rsidR="00F86616">
        <w:t xml:space="preserve"> et al. 2014)</w:t>
      </w:r>
      <w:r w:rsidRPr="007C021B">
        <w:t xml:space="preserve">, primers 515F and 806R to amplify the V4 region of 16S, and primers WANDA and AML2 to amplify the SSU. These primer sets targeted total fungi, total prokaryotes, and </w:t>
      </w:r>
      <w:proofErr w:type="spellStart"/>
      <w:r w:rsidRPr="007C021B">
        <w:t>Glomeromycota</w:t>
      </w:r>
      <w:proofErr w:type="spellEnd"/>
      <w:r w:rsidRPr="007C021B">
        <w:t xml:space="preserve"> fungi (i.e., AMF) respectively. We carried out PCR reactions using a 3-step protocol, with the first step using unmodified primers to enrich target DNA, the second step using modified primers with an adapter region and frameshift section, and the third step using a universal forward primer and a sample-specific barcoded reverse primer. We incorporated </w:t>
      </w:r>
      <w:proofErr w:type="spellStart"/>
      <w:r w:rsidRPr="007C021B">
        <w:t>an</w:t>
      </w:r>
      <w:proofErr w:type="spellEnd"/>
      <w:r w:rsidRPr="007C021B">
        <w:t xml:space="preserve"> ITS peptide nucleic acid blocker to block the amplification of plant ITS2 sequences, and the </w:t>
      </w:r>
      <w:proofErr w:type="spellStart"/>
      <w:r w:rsidRPr="007C021B">
        <w:t>pPNA</w:t>
      </w:r>
      <w:proofErr w:type="spellEnd"/>
      <w:r w:rsidRPr="007C021B">
        <w:t xml:space="preserve"> and </w:t>
      </w:r>
      <w:proofErr w:type="spellStart"/>
      <w:r w:rsidRPr="007C021B">
        <w:t>mPNA</w:t>
      </w:r>
      <w:proofErr w:type="spellEnd"/>
      <w:r w:rsidRPr="007C021B">
        <w:t xml:space="preserve"> peptide nucleic acid blockers were used to block the amplification of plant plastid 16S and mitochondrial 16S, respectively. We used the Phusion Hot Start II High Fidelity polymerase for PCR reactions. Cycle conditions are listed in the supplement. After the final PCR step, we checked amplicons on a 1% agarose gel and then cleaned up small fragments using the Omega Mag-Bind Bead Cleanup kit with a 0.9 ratio of </w:t>
      </w:r>
      <w:proofErr w:type="spellStart"/>
      <w:r w:rsidRPr="007C021B">
        <w:t>beads:DNA</w:t>
      </w:r>
      <w:proofErr w:type="spellEnd"/>
      <w:r w:rsidRPr="007C021B">
        <w:t xml:space="preserve">. Following cleanup, we quantified amplicons using the Qubit HS dsDNA kit. We then pooled amplicons for the three loci at equal concentrations into a single library for sequencing, and the final library was again bead cleaned to adjust the DNA to the final concentration for sequencing. We performed sequencing at the Duke University Sequencing Core on an Illumina </w:t>
      </w:r>
      <w:proofErr w:type="spellStart"/>
      <w:r w:rsidRPr="007C021B">
        <w:t>MiSeq</w:t>
      </w:r>
      <w:proofErr w:type="spellEnd"/>
      <w:r w:rsidRPr="007C021B">
        <w:t xml:space="preserve"> using the V3 300 bp PE kit.</w:t>
      </w:r>
    </w:p>
    <w:p w14:paraId="09A21DEB" w14:textId="77777777" w:rsidR="007C021B" w:rsidRPr="007C021B" w:rsidRDefault="007C021B" w:rsidP="007C021B"/>
    <w:p w14:paraId="2B62847C" w14:textId="77777777" w:rsidR="007C021B" w:rsidRPr="007C021B" w:rsidRDefault="007C021B" w:rsidP="007C021B">
      <w:r w:rsidRPr="007C021B">
        <w:rPr>
          <w:u w:val="single"/>
        </w:rPr>
        <w:t>Microbial Community Bioinformatics and Annotation</w:t>
      </w:r>
    </w:p>
    <w:p w14:paraId="7D8140CA" w14:textId="77777777" w:rsidR="007C021B" w:rsidRPr="007C021B" w:rsidRDefault="007C021B" w:rsidP="007C021B">
      <w:r w:rsidRPr="007C021B">
        <w:t>Amplicon sequencing reads for 16S, ITS2, and 18S were processed using QIIME2 (</w:t>
      </w:r>
      <w:proofErr w:type="spellStart"/>
      <w:r w:rsidRPr="007C021B">
        <w:t>Bolyen</w:t>
      </w:r>
      <w:proofErr w:type="spellEnd"/>
      <w:r w:rsidRPr="007C021B">
        <w:t xml:space="preserve"> et al., 2019), with methodology tailored to each locus, as described below. Amplicon sequence variants (ASVs) were used as the unit of analysis for 16S and 18S data, while 97% operational taxonomic units (OTUs) were employed for ITS2 to account for the differing evolutionary rates between these loci (</w:t>
      </w:r>
      <w:proofErr w:type="spellStart"/>
      <w:r w:rsidRPr="007C021B">
        <w:t>Estensmo</w:t>
      </w:r>
      <w:proofErr w:type="spellEnd"/>
      <w:r w:rsidRPr="007C021B">
        <w:t xml:space="preserve"> et al., 2021). For consistency, we refer to all resulting data tables as “feature tables” and to ASVs and OTUs collectively as “taxa.” </w:t>
      </w:r>
    </w:p>
    <w:p w14:paraId="629F8AFA" w14:textId="5E1FC466" w:rsidR="007C021B" w:rsidRPr="007C021B" w:rsidRDefault="007C021B" w:rsidP="007C021B">
      <w:r w:rsidRPr="007C021B">
        <w:t>Paired-end 16S rRNA sequences were imported into QIIME2 (</w:t>
      </w:r>
      <w:proofErr w:type="spellStart"/>
      <w:r w:rsidRPr="007C021B">
        <w:t>Bolyen</w:t>
      </w:r>
      <w:proofErr w:type="spellEnd"/>
      <w:r w:rsidRPr="007C021B">
        <w:t xml:space="preserve"> et al., 2019), where primers and adapter sequences were trimmed using </w:t>
      </w:r>
      <w:proofErr w:type="spellStart"/>
      <w:r w:rsidRPr="007C021B">
        <w:t>Cutadapt</w:t>
      </w:r>
      <w:proofErr w:type="spellEnd"/>
      <w:r w:rsidRPr="007C021B">
        <w:t xml:space="preserve"> (Martin, 2011). ASVs were generated using DADA2 (Callahan et al., 2016) and taxonomically classified against the SILVA ribosomal database (Quast et al., 2012) using the classify-</w:t>
      </w:r>
      <w:proofErr w:type="spellStart"/>
      <w:r w:rsidRPr="007C021B">
        <w:t>sklearn</w:t>
      </w:r>
      <w:proofErr w:type="spellEnd"/>
      <w:r w:rsidRPr="007C021B">
        <w:t xml:space="preserve"> command in QIIME2 (</w:t>
      </w:r>
      <w:proofErr w:type="spellStart"/>
      <w:r w:rsidRPr="007C021B">
        <w:t>Bokulich</w:t>
      </w:r>
      <w:proofErr w:type="spellEnd"/>
      <w:r w:rsidRPr="007C021B">
        <w:t xml:space="preserve"> et al., 2018; Pedregosa et al., 2011). ASVs identified as </w:t>
      </w:r>
      <w:proofErr w:type="gramStart"/>
      <w:r w:rsidRPr="007C021B">
        <w:t>mitochondrial</w:t>
      </w:r>
      <w:proofErr w:type="gramEnd"/>
      <w:r w:rsidRPr="007C021B">
        <w:t xml:space="preserve"> or chloroplast sequences were removed from downstream analysis.</w:t>
      </w:r>
    </w:p>
    <w:p w14:paraId="1DA393EE" w14:textId="03BE711F" w:rsidR="007C021B" w:rsidRPr="007C021B" w:rsidRDefault="007C021B" w:rsidP="007C021B">
      <w:r w:rsidRPr="007C021B">
        <w:t xml:space="preserve">Additionally, ITS2 paired-end reads were merged using PEAR (Zhang et al., 2014), and the ITS2 region was extracted using </w:t>
      </w:r>
      <w:proofErr w:type="spellStart"/>
      <w:r w:rsidRPr="007C021B">
        <w:t>ITSxpress</w:t>
      </w:r>
      <w:proofErr w:type="spellEnd"/>
      <w:r w:rsidRPr="007C021B">
        <w:t xml:space="preserve"> (Rivers et al., 2018). The processed sequences were imported into QIIME2 (</w:t>
      </w:r>
      <w:proofErr w:type="spellStart"/>
      <w:r w:rsidRPr="007C021B">
        <w:t>Bolyen</w:t>
      </w:r>
      <w:proofErr w:type="spellEnd"/>
      <w:r w:rsidRPr="007C021B">
        <w:t xml:space="preserve"> et al., 2019) and denoised with DADA2 (Callahan et al., 2016). The resulting sequences were clustered into 97% OTUs using VSEARCH (Rognes et al., 2016). Taxonomy was assigned to ITS2 representative sequences using the classify-</w:t>
      </w:r>
      <w:proofErr w:type="spellStart"/>
      <w:r w:rsidRPr="007C021B">
        <w:t>sklearn</w:t>
      </w:r>
      <w:proofErr w:type="spellEnd"/>
      <w:r w:rsidRPr="007C021B">
        <w:t xml:space="preserve"> command in QIIME2 (</w:t>
      </w:r>
      <w:proofErr w:type="spellStart"/>
      <w:r w:rsidRPr="007C021B">
        <w:t>Bokulich</w:t>
      </w:r>
      <w:proofErr w:type="spellEnd"/>
      <w:r w:rsidRPr="007C021B">
        <w:t xml:space="preserve"> et al., 2018; Pedregosa et al., 2011) with the UNITE fungal ITS database (</w:t>
      </w:r>
      <w:proofErr w:type="spellStart"/>
      <w:r w:rsidRPr="007C021B">
        <w:t>Abarenkov</w:t>
      </w:r>
      <w:proofErr w:type="spellEnd"/>
      <w:r w:rsidRPr="007C021B">
        <w:t xml:space="preserve"> et al., 2024). Fungi of interest, including introduced ectomycorrhizal fungi and other abundant OTUs, were manually verified using BLAST searches (Altschul et al., 1990) against the NCBI Core Nucleotide Database. Fungal guild annotation </w:t>
      </w:r>
      <w:r w:rsidR="00DA5B87">
        <w:t>was</w:t>
      </w:r>
      <w:r w:rsidRPr="007C021B">
        <w:t xml:space="preserve"> done with a combination of </w:t>
      </w:r>
      <w:proofErr w:type="spellStart"/>
      <w:r w:rsidRPr="007C021B">
        <w:t>FungalTraits</w:t>
      </w:r>
      <w:proofErr w:type="spellEnd"/>
      <w:r w:rsidRPr="007C021B">
        <w:t xml:space="preserve"> and </w:t>
      </w:r>
      <w:proofErr w:type="spellStart"/>
      <w:r w:rsidRPr="007C021B">
        <w:t>FunGuild</w:t>
      </w:r>
      <w:proofErr w:type="spellEnd"/>
      <w:r w:rsidRPr="007C021B">
        <w:t xml:space="preserve"> (Nguyen et al., 2016; </w:t>
      </w:r>
      <w:proofErr w:type="spellStart"/>
      <w:r w:rsidRPr="007C021B">
        <w:t>Põlme</w:t>
      </w:r>
      <w:proofErr w:type="spellEnd"/>
      <w:r w:rsidRPr="007C021B">
        <w:t xml:space="preserve"> et al., 2020). </w:t>
      </w:r>
    </w:p>
    <w:p w14:paraId="276ED5A6" w14:textId="25496E4D" w:rsidR="007C021B" w:rsidRPr="007C021B" w:rsidRDefault="007C021B" w:rsidP="007C021B">
      <w:r w:rsidRPr="007C021B">
        <w:t xml:space="preserve">Furthermore, raw </w:t>
      </w:r>
      <w:proofErr w:type="gramStart"/>
      <w:r w:rsidRPr="007C021B">
        <w:t>paired-end</w:t>
      </w:r>
      <w:proofErr w:type="gramEnd"/>
      <w:r w:rsidRPr="007C021B">
        <w:t xml:space="preserve"> 18S sequences were provided demultiplexed and underwent quality control in QIIME2 v.2023.5 (</w:t>
      </w:r>
      <w:proofErr w:type="spellStart"/>
      <w:r w:rsidRPr="007C021B">
        <w:t>Bolyen</w:t>
      </w:r>
      <w:proofErr w:type="spellEnd"/>
      <w:r w:rsidRPr="007C021B">
        <w:t xml:space="preserve"> et al., 2019). Primer regions and low-quality sequences were trimmed, and chimeras were filtered using DADA2 (Callahan et al., 2016), resulting in 1,364 ASVs from 716,988 total sequences. Taxonomy was assigned to representative sequences using the </w:t>
      </w:r>
      <w:proofErr w:type="spellStart"/>
      <w:r w:rsidRPr="007C021B">
        <w:t>MaarjAM</w:t>
      </w:r>
      <w:proofErr w:type="spellEnd"/>
      <w:r w:rsidRPr="007C021B">
        <w:t xml:space="preserve"> database (Öpik et al., 2010) and the feature-classifier plugin in QIIME2 (</w:t>
      </w:r>
      <w:proofErr w:type="spellStart"/>
      <w:r w:rsidRPr="007C021B">
        <w:t>Bolyen</w:t>
      </w:r>
      <w:proofErr w:type="spellEnd"/>
      <w:r w:rsidRPr="007C021B">
        <w:t xml:space="preserve"> et al., 2019; </w:t>
      </w:r>
      <w:proofErr w:type="spellStart"/>
      <w:r w:rsidRPr="007C021B">
        <w:t>Bokulich</w:t>
      </w:r>
      <w:proofErr w:type="spellEnd"/>
      <w:r w:rsidRPr="007C021B">
        <w:t xml:space="preserve"> et al., 2018). To identify ASVs belonging to the </w:t>
      </w:r>
      <w:proofErr w:type="spellStart"/>
      <w:r w:rsidRPr="007C021B">
        <w:t>Glomeromycotina</w:t>
      </w:r>
      <w:proofErr w:type="spellEnd"/>
      <w:r w:rsidRPr="007C021B">
        <w:t xml:space="preserve"> (the subphylum of arbuscular mycorrhizal fungi), sequence similarity searches were conducted at 95%, 90%, and 80% similarity thresholds while maintaining query coverage &gt;90% and a BLAST e-value &lt;1e-50, following methods similar to </w:t>
      </w:r>
      <w:proofErr w:type="spellStart"/>
      <w:r w:rsidRPr="007C021B">
        <w:t>Kajihara</w:t>
      </w:r>
      <w:proofErr w:type="spellEnd"/>
      <w:r w:rsidRPr="007C021B">
        <w:t xml:space="preserve"> et al. (2022). This yielded 622 ASVs at 95%, 658 ASVs at 90%, and 57 </w:t>
      </w:r>
      <w:r w:rsidRPr="007C021B">
        <w:lastRenderedPageBreak/>
        <w:t xml:space="preserve">ASVs at 80% sequence similarity. Additionally, unassigned sequences were compared to </w:t>
      </w:r>
      <w:proofErr w:type="spellStart"/>
      <w:r w:rsidRPr="007C021B">
        <w:t>Glomeromycotina</w:t>
      </w:r>
      <w:proofErr w:type="spellEnd"/>
      <w:r w:rsidRPr="007C021B">
        <w:t xml:space="preserve"> reference sequences from the NCBI Nucleotide database at &gt;80% sequence similarity, identifying six additional ASVs. All ASVs were merged into a single table using the QIIME2 feature-table plugin.</w:t>
      </w:r>
    </w:p>
    <w:p w14:paraId="62070005" w14:textId="5CB38CEC" w:rsidR="007C021B" w:rsidRPr="007C021B" w:rsidRDefault="007C021B" w:rsidP="007C021B">
      <w:r w:rsidRPr="007C021B">
        <w:t>Finally, feature tables</w:t>
      </w:r>
      <w:r w:rsidR="002F1E37">
        <w:t xml:space="preserve"> and taxonomic annotations</w:t>
      </w:r>
      <w:r w:rsidRPr="007C021B">
        <w:t xml:space="preserve"> for all loci were imported into RStudio for downstream analysis.</w:t>
      </w:r>
      <w:r w:rsidR="00043409">
        <w:t xml:space="preserve"> Feature tables and taxonomic annotations are available in Supplemental File S2.</w:t>
      </w:r>
      <w:r w:rsidRPr="007C021B">
        <w:t xml:space="preserve"> Datasets were rarefied to even sequencing depths of 2,053 for 18S, 24,860 for 16S, and 70,218 for ITS2. After rarefaction, technical replicates from the same sample were pooled by summing their sequence abundances. This final dataset included 1,281 taxa for 18S, 18,775 taxa for 16S, and 4,159 taxa for ITS2.</w:t>
      </w:r>
    </w:p>
    <w:p w14:paraId="471F453F" w14:textId="71E31F5C" w:rsidR="007C021B" w:rsidRPr="009A48BE" w:rsidRDefault="00764BE0">
      <w:pPr>
        <w:rPr>
          <w:b/>
          <w:bCs/>
          <w:u w:val="single"/>
        </w:rPr>
      </w:pPr>
      <w:r w:rsidRPr="009A48BE">
        <w:rPr>
          <w:b/>
          <w:bCs/>
          <w:u w:val="single"/>
        </w:rPr>
        <w:t>References</w:t>
      </w:r>
    </w:p>
    <w:p w14:paraId="40F82C93" w14:textId="4B7B2446" w:rsidR="00FC1093" w:rsidRDefault="00FC1093">
      <w:proofErr w:type="spellStart"/>
      <w:r w:rsidRPr="00FC1093">
        <w:t>Abarenkov</w:t>
      </w:r>
      <w:proofErr w:type="spellEnd"/>
      <w:r w:rsidRPr="00FC1093">
        <w:t>, K., Nilsson, R.H., Larsson, K.H., Taylor, A.F., May, T.W., Frøslev, T.G., Pawlowska, J., Lindahl, B., Põldmaa, K., Truong, C. and Vu, D.</w:t>
      </w:r>
      <w:r>
        <w:t xml:space="preserve"> (</w:t>
      </w:r>
      <w:r w:rsidRPr="00FC1093">
        <w:t>2024</w:t>
      </w:r>
      <w:r>
        <w:t>)</w:t>
      </w:r>
      <w:r w:rsidRPr="00FC1093">
        <w:t>. The UNITE database for molecular identification and taxonomic communication of fungi and other eukaryotes: sequences, taxa and classifications reconsidered. Nucleic Acids Research, 52(D1), D791-D797.</w:t>
      </w:r>
    </w:p>
    <w:p w14:paraId="25481783" w14:textId="21BA78B5" w:rsidR="00F02A86" w:rsidRDefault="00F02A86">
      <w:r w:rsidRPr="00F02A86">
        <w:t xml:space="preserve">Altschul, S.F., Gish, W., Miller, W., Myers, E.W. and Lipman, D.J. </w:t>
      </w:r>
      <w:r>
        <w:t>(</w:t>
      </w:r>
      <w:r w:rsidRPr="00F02A86">
        <w:t>1990</w:t>
      </w:r>
      <w:r>
        <w:t>)</w:t>
      </w:r>
      <w:r w:rsidRPr="00F02A86">
        <w:t>. Basic local alignment search tool. Journal of molecular biology, 215(3), 403-410.</w:t>
      </w:r>
    </w:p>
    <w:p w14:paraId="4C7A6A32" w14:textId="08585D19" w:rsidR="00BD1DA9" w:rsidRDefault="00BD1DA9">
      <w:proofErr w:type="spellStart"/>
      <w:r w:rsidRPr="00BD1DA9">
        <w:t>Bokulich</w:t>
      </w:r>
      <w:proofErr w:type="spellEnd"/>
      <w:r w:rsidRPr="00BD1DA9">
        <w:t xml:space="preserve">, N.A., Kaehler, B.D., Rideout, J.R., Dillon, M., </w:t>
      </w:r>
      <w:proofErr w:type="spellStart"/>
      <w:r w:rsidRPr="00BD1DA9">
        <w:t>Bolyen</w:t>
      </w:r>
      <w:proofErr w:type="spellEnd"/>
      <w:r w:rsidRPr="00BD1DA9">
        <w:t xml:space="preserve">, E., Knight, R., </w:t>
      </w:r>
      <w:proofErr w:type="spellStart"/>
      <w:r w:rsidRPr="00BD1DA9">
        <w:t>Huttley</w:t>
      </w:r>
      <w:proofErr w:type="spellEnd"/>
      <w:r w:rsidRPr="00BD1DA9">
        <w:t>, G.A. and Gregory Caporaso, J., 2018. Optimizing taxonomic classification of marker-gene amplicon sequences with QIIME 2’s q2-feature-classifier plugin. Microbiome, 6, 1-17.</w:t>
      </w:r>
    </w:p>
    <w:p w14:paraId="5A85A172" w14:textId="006FCDCD" w:rsidR="00C82AEE" w:rsidRDefault="00C82AEE">
      <w:proofErr w:type="spellStart"/>
      <w:r w:rsidRPr="00C82AEE">
        <w:t>Bolyen</w:t>
      </w:r>
      <w:proofErr w:type="spellEnd"/>
      <w:r w:rsidRPr="00C82AEE">
        <w:t xml:space="preserve">, E., Rideout, J.R., Dillon, M.R., </w:t>
      </w:r>
      <w:proofErr w:type="spellStart"/>
      <w:r w:rsidRPr="00C82AEE">
        <w:t>Bokulich</w:t>
      </w:r>
      <w:proofErr w:type="spellEnd"/>
      <w:r w:rsidRPr="00C82AEE">
        <w:t>, N.A., Abnet, C.C., Al-</w:t>
      </w:r>
      <w:proofErr w:type="spellStart"/>
      <w:r w:rsidRPr="00C82AEE">
        <w:t>Ghalith</w:t>
      </w:r>
      <w:proofErr w:type="spellEnd"/>
      <w:r w:rsidRPr="00C82AEE">
        <w:t xml:space="preserve">, G.A., Alexander, H., Alm, E.J., Arumugam, M., Asnicar, F. and Bai, Y. </w:t>
      </w:r>
      <w:r>
        <w:t>(</w:t>
      </w:r>
      <w:r w:rsidRPr="00C82AEE">
        <w:t>2019</w:t>
      </w:r>
      <w:r>
        <w:t>)</w:t>
      </w:r>
      <w:r w:rsidRPr="00C82AEE">
        <w:t>. Reproducible, interactive, scalable and extensible microbiome data science using QIIME 2. Nature Biotechnology, 37(8), 852-857.</w:t>
      </w:r>
    </w:p>
    <w:p w14:paraId="1C929C6A" w14:textId="4409368E" w:rsidR="00564C65" w:rsidRDefault="00564C65">
      <w:r w:rsidRPr="00564C65">
        <w:t>Callahan, B.J., McMurdie, P.J., Rosen, M.J., Han, A.W., Johnson, A.J.A., &amp; Holmes, S.P. (2016). DADA2: High-resolution sample inference from Illumina amplicon data. Nature methods</w:t>
      </w:r>
      <w:r w:rsidR="00AA3C1F">
        <w:t>.</w:t>
      </w:r>
      <w:r w:rsidRPr="00564C65">
        <w:t xml:space="preserve"> 13(7), 581-583.</w:t>
      </w:r>
    </w:p>
    <w:p w14:paraId="27E0A864" w14:textId="0F48E4DF" w:rsidR="00764BE0" w:rsidRDefault="00A24E42">
      <w:r w:rsidRPr="00A24E42">
        <w:t xml:space="preserve">Cregger, M.A., Veach, A.M., Yang, Z.K., Crouch, M.J., </w:t>
      </w:r>
      <w:proofErr w:type="spellStart"/>
      <w:r w:rsidRPr="00A24E42">
        <w:t>Vilgalys</w:t>
      </w:r>
      <w:proofErr w:type="spellEnd"/>
      <w:r w:rsidRPr="00A24E42">
        <w:t>, R.</w:t>
      </w:r>
      <w:r w:rsidR="00A5350D">
        <w:t>J.</w:t>
      </w:r>
      <w:r w:rsidRPr="00A24E42">
        <w:t xml:space="preserve">, Tuskan, G.A., &amp; Schadt, C.W. (2018). The </w:t>
      </w:r>
      <w:r w:rsidRPr="00564C65">
        <w:rPr>
          <w:i/>
          <w:iCs/>
        </w:rPr>
        <w:t>Populus</w:t>
      </w:r>
      <w:r w:rsidRPr="00A24E42">
        <w:t xml:space="preserve"> holobiont: dissecting the effects of plant niches and genotype on the microbiome. </w:t>
      </w:r>
      <w:r w:rsidRPr="00A5350D">
        <w:t>Microbiome</w:t>
      </w:r>
      <w:r w:rsidRPr="00A24E42">
        <w:t xml:space="preserve">, </w:t>
      </w:r>
      <w:r w:rsidRPr="00A5350D">
        <w:t>6</w:t>
      </w:r>
      <w:r w:rsidRPr="00A24E42">
        <w:t>, 1-14.</w:t>
      </w:r>
    </w:p>
    <w:p w14:paraId="78EFF4F9" w14:textId="4BC904AC" w:rsidR="00DE19F2" w:rsidRDefault="00DE19F2">
      <w:proofErr w:type="spellStart"/>
      <w:r w:rsidRPr="00DE19F2">
        <w:t>Estensmo</w:t>
      </w:r>
      <w:proofErr w:type="spellEnd"/>
      <w:r w:rsidRPr="00DE19F2">
        <w:t>, E.L.F., Maurice, S., Morgado, L., Martin</w:t>
      </w:r>
      <w:r w:rsidRPr="00DE19F2">
        <w:rPr>
          <w:rFonts w:ascii="Cambria Math" w:hAnsi="Cambria Math" w:cs="Cambria Math"/>
        </w:rPr>
        <w:t>‐</w:t>
      </w:r>
      <w:r w:rsidRPr="00DE19F2">
        <w:t xml:space="preserve">Sanchez, P.M., Skrede, I., &amp; </w:t>
      </w:r>
      <w:proofErr w:type="spellStart"/>
      <w:r w:rsidRPr="00DE19F2">
        <w:t>Kauserud</w:t>
      </w:r>
      <w:proofErr w:type="spellEnd"/>
      <w:r w:rsidRPr="00DE19F2">
        <w:t>, H. (2021). The influence of intraspecific sequence variation during DNA metabarcoding: A case study of eleven fungal species. Molecular Ecology Resources, 21(4), 1141-1148.</w:t>
      </w:r>
    </w:p>
    <w:p w14:paraId="052E2DFA" w14:textId="480193E7" w:rsidR="006A1D4D" w:rsidRDefault="006A1D4D">
      <w:proofErr w:type="spellStart"/>
      <w:r w:rsidRPr="006A1D4D">
        <w:lastRenderedPageBreak/>
        <w:t>Kajihara</w:t>
      </w:r>
      <w:proofErr w:type="spellEnd"/>
      <w:r w:rsidRPr="006A1D4D">
        <w:t>, K.T., Egan, C.P., Swift, S.O., Wall, C.B., Muir, C.D. and Hynson, N.A.</w:t>
      </w:r>
      <w:r>
        <w:t xml:space="preserve"> (</w:t>
      </w:r>
      <w:r w:rsidRPr="006A1D4D">
        <w:t>2022</w:t>
      </w:r>
      <w:r>
        <w:t>)</w:t>
      </w:r>
      <w:r w:rsidRPr="006A1D4D">
        <w:t>. Core arbuscular mycorrhizal fungi are predicted by their high abundance–occupancy relationship while host</w:t>
      </w:r>
      <w:r w:rsidRPr="006A1D4D">
        <w:rPr>
          <w:rFonts w:ascii="Cambria Math" w:hAnsi="Cambria Math" w:cs="Cambria Math"/>
        </w:rPr>
        <w:t>‐</w:t>
      </w:r>
      <w:r w:rsidRPr="006A1D4D">
        <w:t>specific taxa are rare and geographically structured. New Phytologist, 234(4), 1464-1476.</w:t>
      </w:r>
    </w:p>
    <w:p w14:paraId="356BF444" w14:textId="1EFDB992" w:rsidR="006664F9" w:rsidRDefault="006664F9">
      <w:r w:rsidRPr="006664F9">
        <w:t xml:space="preserve">Martin, M. (2011). </w:t>
      </w:r>
      <w:proofErr w:type="spellStart"/>
      <w:r w:rsidRPr="006664F9">
        <w:t>Cutadapt</w:t>
      </w:r>
      <w:proofErr w:type="spellEnd"/>
      <w:r w:rsidRPr="006664F9">
        <w:t xml:space="preserve"> removes adapter sequences from high-throughput sequencing reads. </w:t>
      </w:r>
      <w:proofErr w:type="spellStart"/>
      <w:r w:rsidRPr="006664F9">
        <w:t>EMBnet</w:t>
      </w:r>
      <w:proofErr w:type="spellEnd"/>
      <w:r w:rsidRPr="006664F9">
        <w:t>. journal, 17(1), 10-12.</w:t>
      </w:r>
    </w:p>
    <w:p w14:paraId="090930F7" w14:textId="45889550" w:rsidR="001E206A" w:rsidRDefault="001E206A">
      <w:r w:rsidRPr="001E206A">
        <w:t xml:space="preserve">Nguyen, N.H., Song, Z., Bates, S.T., Branco, S., </w:t>
      </w:r>
      <w:proofErr w:type="spellStart"/>
      <w:r w:rsidRPr="001E206A">
        <w:t>Tedersoo</w:t>
      </w:r>
      <w:proofErr w:type="spellEnd"/>
      <w:r w:rsidRPr="001E206A">
        <w:t xml:space="preserve">, L., Menke, J., Schilling, J.S. and Kennedy, P.G. </w:t>
      </w:r>
      <w:r>
        <w:t>(</w:t>
      </w:r>
      <w:r w:rsidRPr="001E206A">
        <w:t>2016</w:t>
      </w:r>
      <w:r>
        <w:t>)</w:t>
      </w:r>
      <w:r w:rsidRPr="001E206A">
        <w:t xml:space="preserve">. </w:t>
      </w:r>
      <w:proofErr w:type="spellStart"/>
      <w:r w:rsidRPr="001E206A">
        <w:t>FUNGuild</w:t>
      </w:r>
      <w:proofErr w:type="spellEnd"/>
      <w:r w:rsidRPr="001E206A">
        <w:t xml:space="preserve">: an open annotation tool for parsing fungal community datasets by ecological guild. Fungal ecology, 20, 241-248. </w:t>
      </w:r>
    </w:p>
    <w:p w14:paraId="17720082" w14:textId="508B3F53" w:rsidR="00EF73C0" w:rsidRPr="00EF73C0" w:rsidRDefault="00EF73C0">
      <w:r w:rsidRPr="00EF73C0">
        <w:t xml:space="preserve">Öpik, M., Vanatoa, A., Vanatoa, E., </w:t>
      </w:r>
      <w:proofErr w:type="spellStart"/>
      <w:r w:rsidRPr="00EF73C0">
        <w:t>Moora</w:t>
      </w:r>
      <w:proofErr w:type="spellEnd"/>
      <w:r w:rsidRPr="00EF73C0">
        <w:t xml:space="preserve">, M., Davison, J., </w:t>
      </w:r>
      <w:proofErr w:type="spellStart"/>
      <w:r w:rsidRPr="00EF73C0">
        <w:t>Kalwij</w:t>
      </w:r>
      <w:proofErr w:type="spellEnd"/>
      <w:r w:rsidRPr="00EF73C0">
        <w:t xml:space="preserve">, J.M., Reier, Ü. and Zobel, M. </w:t>
      </w:r>
      <w:r>
        <w:t>(</w:t>
      </w:r>
      <w:r w:rsidRPr="00EF73C0">
        <w:t>2010</w:t>
      </w:r>
      <w:r>
        <w:t>)</w:t>
      </w:r>
      <w:r w:rsidRPr="00EF73C0">
        <w:t xml:space="preserve">. The online database </w:t>
      </w:r>
      <w:proofErr w:type="spellStart"/>
      <w:r w:rsidRPr="00EF73C0">
        <w:t>MaarjAM</w:t>
      </w:r>
      <w:proofErr w:type="spellEnd"/>
      <w:r w:rsidRPr="00EF73C0">
        <w:t xml:space="preserve"> reveals global and ecosystemic distribution patterns in arbuscular mycorrhizal fungi (</w:t>
      </w:r>
      <w:proofErr w:type="spellStart"/>
      <w:r w:rsidRPr="00EF73C0">
        <w:t>Glomeromycota</w:t>
      </w:r>
      <w:proofErr w:type="spellEnd"/>
      <w:r w:rsidRPr="00EF73C0">
        <w:t>). New Phytologist, 188(1), 223-241.</w:t>
      </w:r>
    </w:p>
    <w:p w14:paraId="06662865" w14:textId="2C38A58A" w:rsidR="007A1EFB" w:rsidRDefault="007A1EFB">
      <w:r w:rsidRPr="007A1EFB">
        <w:t xml:space="preserve">Pedregosa, F., </w:t>
      </w:r>
      <w:proofErr w:type="spellStart"/>
      <w:r w:rsidRPr="007A1EFB">
        <w:t>Varoquaux</w:t>
      </w:r>
      <w:proofErr w:type="spellEnd"/>
      <w:r w:rsidRPr="007A1EFB">
        <w:t xml:space="preserve">, G., </w:t>
      </w:r>
      <w:proofErr w:type="spellStart"/>
      <w:r w:rsidRPr="007A1EFB">
        <w:t>Gramfort</w:t>
      </w:r>
      <w:proofErr w:type="spellEnd"/>
      <w:r w:rsidRPr="007A1EFB">
        <w:t xml:space="preserve">, A., Michel, V., Thirion, B., Grisel, O., Blondel, M., </w:t>
      </w:r>
      <w:proofErr w:type="spellStart"/>
      <w:r w:rsidRPr="007A1EFB">
        <w:t>Prettenhofer</w:t>
      </w:r>
      <w:proofErr w:type="spellEnd"/>
      <w:r w:rsidRPr="007A1EFB">
        <w:t xml:space="preserve">, P., Weiss, R., Dubourg, V. and Vanderplas, J. </w:t>
      </w:r>
      <w:r>
        <w:t>(</w:t>
      </w:r>
      <w:r w:rsidRPr="007A1EFB">
        <w:t>2011</w:t>
      </w:r>
      <w:r>
        <w:t>)</w:t>
      </w:r>
      <w:r w:rsidRPr="007A1EFB">
        <w:t xml:space="preserve">. Scikit-learn: Machine learning in Python. </w:t>
      </w:r>
      <w:r>
        <w:rPr>
          <w:i/>
          <w:iCs/>
        </w:rPr>
        <w:t>T</w:t>
      </w:r>
      <w:r w:rsidRPr="007A1EFB">
        <w:rPr>
          <w:i/>
          <w:iCs/>
        </w:rPr>
        <w:t>he Journal of machine Learning research</w:t>
      </w:r>
      <w:r w:rsidRPr="007A1EFB">
        <w:t xml:space="preserve">, </w:t>
      </w:r>
      <w:r w:rsidRPr="007A1EFB">
        <w:rPr>
          <w:i/>
          <w:iCs/>
        </w:rPr>
        <w:t>12</w:t>
      </w:r>
      <w:r w:rsidRPr="007A1EFB">
        <w:t>, 2825-2830.</w:t>
      </w:r>
    </w:p>
    <w:p w14:paraId="7187DA81" w14:textId="659095D5" w:rsidR="003513A9" w:rsidRDefault="003513A9">
      <w:proofErr w:type="spellStart"/>
      <w:r w:rsidRPr="003513A9">
        <w:t>Põlme</w:t>
      </w:r>
      <w:proofErr w:type="spellEnd"/>
      <w:r w:rsidRPr="003513A9">
        <w:t xml:space="preserve">, S., </w:t>
      </w:r>
      <w:proofErr w:type="spellStart"/>
      <w:r w:rsidRPr="003513A9">
        <w:t>Abarenkov</w:t>
      </w:r>
      <w:proofErr w:type="spellEnd"/>
      <w:r w:rsidRPr="003513A9">
        <w:t xml:space="preserve">, K., Henrik Nilsson, R., Lindahl, B.D., Clemmensen, K.E., </w:t>
      </w:r>
      <w:proofErr w:type="spellStart"/>
      <w:r w:rsidRPr="003513A9">
        <w:t>Kauserud</w:t>
      </w:r>
      <w:proofErr w:type="spellEnd"/>
      <w:r w:rsidRPr="003513A9">
        <w:t>, H., Nguyen, N., Kjøller, R., Bates, S.T., Baldrian, P. and Frøslev, T.G.</w:t>
      </w:r>
      <w:r>
        <w:t xml:space="preserve"> (</w:t>
      </w:r>
      <w:r w:rsidRPr="003513A9">
        <w:t>2020</w:t>
      </w:r>
      <w:r>
        <w:t>)</w:t>
      </w:r>
      <w:r w:rsidRPr="003513A9">
        <w:t xml:space="preserve">. </w:t>
      </w:r>
      <w:proofErr w:type="spellStart"/>
      <w:r w:rsidRPr="003513A9">
        <w:t>FungalTraits</w:t>
      </w:r>
      <w:proofErr w:type="spellEnd"/>
      <w:r w:rsidRPr="003513A9">
        <w:t xml:space="preserve">: a user-friendly traits database of fungi and fungus-like </w:t>
      </w:r>
      <w:proofErr w:type="spellStart"/>
      <w:r w:rsidRPr="003513A9">
        <w:t>stramenopiles</w:t>
      </w:r>
      <w:proofErr w:type="spellEnd"/>
      <w:r w:rsidRPr="003513A9">
        <w:t>. Fungal diversity, 105, 1-16.</w:t>
      </w:r>
    </w:p>
    <w:p w14:paraId="6D7251A3" w14:textId="222F3545" w:rsidR="006410E8" w:rsidRDefault="006410E8">
      <w:r w:rsidRPr="006410E8">
        <w:t xml:space="preserve">Quast, C., </w:t>
      </w:r>
      <w:proofErr w:type="spellStart"/>
      <w:r w:rsidRPr="006410E8">
        <w:t>Pruesse</w:t>
      </w:r>
      <w:proofErr w:type="spellEnd"/>
      <w:r w:rsidRPr="006410E8">
        <w:t xml:space="preserve">, E., Yilmaz, P., Gerken, J., Schweer, T., Yarza, P., </w:t>
      </w:r>
      <w:proofErr w:type="spellStart"/>
      <w:r w:rsidRPr="006410E8">
        <w:t>Peplies</w:t>
      </w:r>
      <w:proofErr w:type="spellEnd"/>
      <w:r w:rsidRPr="006410E8">
        <w:t>, J. and Glöckner, F.O.</w:t>
      </w:r>
      <w:r>
        <w:t xml:space="preserve"> (</w:t>
      </w:r>
      <w:r w:rsidRPr="006410E8">
        <w:t>2012</w:t>
      </w:r>
      <w:r>
        <w:t>)</w:t>
      </w:r>
      <w:r w:rsidRPr="006410E8">
        <w:t>. The SILVA ribosomal RNA gene database project: improved data processing and web-based tools. Nucleic acids research, 41(D1), D590-D596.</w:t>
      </w:r>
    </w:p>
    <w:p w14:paraId="025F6B6C" w14:textId="26F69636" w:rsidR="00D15177" w:rsidRDefault="00D15177">
      <w:r w:rsidRPr="00D15177">
        <w:t xml:space="preserve">Rivers, A.R., Weber, K.C., Gardner, T.G., Liu, S., &amp; Armstrong, S.D. (2018). </w:t>
      </w:r>
      <w:proofErr w:type="spellStart"/>
      <w:r w:rsidRPr="00D15177">
        <w:t>ITSxpress</w:t>
      </w:r>
      <w:proofErr w:type="spellEnd"/>
      <w:r w:rsidRPr="00D15177">
        <w:t>: Software to rapidly trim internally transcribed spacer sequences with quality scores for marker gene analysis. F1000Research, 7.</w:t>
      </w:r>
    </w:p>
    <w:p w14:paraId="1292CE2C" w14:textId="7B0581D3" w:rsidR="00B54CD7" w:rsidRDefault="00B54CD7">
      <w:r w:rsidRPr="00B54CD7">
        <w:t xml:space="preserve">Rognes, T., </w:t>
      </w:r>
      <w:proofErr w:type="spellStart"/>
      <w:r w:rsidRPr="00B54CD7">
        <w:t>Flouri</w:t>
      </w:r>
      <w:proofErr w:type="spellEnd"/>
      <w:r w:rsidRPr="00B54CD7">
        <w:t>, T., Nichols, B., Quince, C. and Mahé, F</w:t>
      </w:r>
      <w:r>
        <w:t xml:space="preserve"> (</w:t>
      </w:r>
      <w:r w:rsidRPr="00B54CD7">
        <w:t>2016</w:t>
      </w:r>
      <w:r>
        <w:t>)</w:t>
      </w:r>
      <w:r w:rsidRPr="00B54CD7">
        <w:t xml:space="preserve">. VSEARCH: a versatile </w:t>
      </w:r>
      <w:proofErr w:type="gramStart"/>
      <w:r w:rsidRPr="00B54CD7">
        <w:t>open source</w:t>
      </w:r>
      <w:proofErr w:type="gramEnd"/>
      <w:r w:rsidRPr="00B54CD7">
        <w:t xml:space="preserve"> tool for metagenomics. </w:t>
      </w:r>
      <w:proofErr w:type="spellStart"/>
      <w:r w:rsidRPr="00B54CD7">
        <w:t>PeerJ</w:t>
      </w:r>
      <w:proofErr w:type="spellEnd"/>
      <w:r w:rsidRPr="00B54CD7">
        <w:t>, 4, e2584.</w:t>
      </w:r>
    </w:p>
    <w:p w14:paraId="3A155F93" w14:textId="53D4F1E5" w:rsidR="00F517CB" w:rsidRDefault="00F517CB">
      <w:proofErr w:type="spellStart"/>
      <w:r w:rsidRPr="00F517CB">
        <w:t>Tedersoo</w:t>
      </w:r>
      <w:proofErr w:type="spellEnd"/>
      <w:r w:rsidRPr="00F517CB">
        <w:t xml:space="preserve">, L., Bahram, M., </w:t>
      </w:r>
      <w:proofErr w:type="spellStart"/>
      <w:r w:rsidRPr="00F517CB">
        <w:t>Põlme</w:t>
      </w:r>
      <w:proofErr w:type="spellEnd"/>
      <w:r w:rsidRPr="00F517CB">
        <w:t xml:space="preserve">, S., </w:t>
      </w:r>
      <w:proofErr w:type="spellStart"/>
      <w:r w:rsidRPr="00F517CB">
        <w:t>Kõljalg</w:t>
      </w:r>
      <w:proofErr w:type="spellEnd"/>
      <w:r w:rsidRPr="00F517CB">
        <w:t xml:space="preserve">, U., </w:t>
      </w:r>
      <w:proofErr w:type="spellStart"/>
      <w:r w:rsidRPr="00F517CB">
        <w:t>Yorou</w:t>
      </w:r>
      <w:proofErr w:type="spellEnd"/>
      <w:r w:rsidRPr="00F517CB">
        <w:t xml:space="preserve">, N.S., </w:t>
      </w:r>
      <w:proofErr w:type="spellStart"/>
      <w:r w:rsidRPr="00F517CB">
        <w:t>Wijesundera</w:t>
      </w:r>
      <w:proofErr w:type="spellEnd"/>
      <w:r w:rsidRPr="00F517CB">
        <w:t xml:space="preserve">, R., Ruiz, L.V., Vasco-Palacios, A.M., Thu, P.Q., </w:t>
      </w:r>
      <w:proofErr w:type="spellStart"/>
      <w:r w:rsidRPr="00F517CB">
        <w:t>Suija</w:t>
      </w:r>
      <w:proofErr w:type="spellEnd"/>
      <w:r w:rsidRPr="00F517CB">
        <w:t xml:space="preserve">, A. and Smith, M.E. </w:t>
      </w:r>
      <w:r>
        <w:t>(</w:t>
      </w:r>
      <w:r w:rsidRPr="00F517CB">
        <w:t>2014</w:t>
      </w:r>
      <w:r>
        <w:t>)</w:t>
      </w:r>
      <w:r w:rsidRPr="00F517CB">
        <w:t xml:space="preserve">. Global diversity and geography of soil fungi. </w:t>
      </w:r>
      <w:r w:rsidR="00253263" w:rsidRPr="00253263">
        <w:t>S</w:t>
      </w:r>
      <w:r w:rsidRPr="00253263">
        <w:t>cience</w:t>
      </w:r>
      <w:r w:rsidRPr="00F517CB">
        <w:t xml:space="preserve">, </w:t>
      </w:r>
      <w:r w:rsidRPr="00253263">
        <w:t>346</w:t>
      </w:r>
      <w:r w:rsidR="00253263">
        <w:t xml:space="preserve"> </w:t>
      </w:r>
      <w:r w:rsidRPr="00F517CB">
        <w:t>(6213)</w:t>
      </w:r>
      <w:r w:rsidR="00253263">
        <w:t>,</w:t>
      </w:r>
      <w:r w:rsidRPr="00F517CB">
        <w:t>1256688.</w:t>
      </w:r>
    </w:p>
    <w:p w14:paraId="34AC8D0D" w14:textId="1751E3F9" w:rsidR="00AC5AEF" w:rsidRDefault="00AC5AEF">
      <w:r w:rsidRPr="00AC5AEF">
        <w:lastRenderedPageBreak/>
        <w:t xml:space="preserve">White, T. J., Bruns, T., Lee, S. J. W. T., &amp; Taylor, J. (1990). Amplification and direct sequencing of fungal ribosomal RNA genes for phylogenetics. </w:t>
      </w:r>
      <w:r w:rsidRPr="004F47CE">
        <w:t>PCR protocols: a guide to methods and applications</w:t>
      </w:r>
      <w:r w:rsidRPr="00AC5AEF">
        <w:t xml:space="preserve">, </w:t>
      </w:r>
      <w:r w:rsidRPr="003E6951">
        <w:t>18</w:t>
      </w:r>
      <w:r w:rsidR="003E6951">
        <w:t xml:space="preserve"> </w:t>
      </w:r>
      <w:r w:rsidRPr="00AC5AEF">
        <w:t>(1), 315-322.</w:t>
      </w:r>
    </w:p>
    <w:p w14:paraId="60A08CD3" w14:textId="66167DB2" w:rsidR="0088021C" w:rsidRDefault="0088021C">
      <w:r w:rsidRPr="0088021C">
        <w:t xml:space="preserve">Zhang, J., Kobert, K., </w:t>
      </w:r>
      <w:proofErr w:type="spellStart"/>
      <w:r w:rsidRPr="0088021C">
        <w:t>Flouri</w:t>
      </w:r>
      <w:proofErr w:type="spellEnd"/>
      <w:r w:rsidRPr="0088021C">
        <w:t>, T. and Stamatakis, A.</w:t>
      </w:r>
      <w:r>
        <w:t xml:space="preserve"> (</w:t>
      </w:r>
      <w:r w:rsidRPr="0088021C">
        <w:t>2014</w:t>
      </w:r>
      <w:r>
        <w:t>)</w:t>
      </w:r>
      <w:r w:rsidRPr="0088021C">
        <w:t xml:space="preserve">. PEAR: a fast and accurate Illumina Paired-End </w:t>
      </w:r>
      <w:proofErr w:type="spellStart"/>
      <w:r w:rsidRPr="0088021C">
        <w:t>reAd</w:t>
      </w:r>
      <w:proofErr w:type="spellEnd"/>
      <w:r w:rsidRPr="0088021C">
        <w:t xml:space="preserve"> </w:t>
      </w:r>
      <w:proofErr w:type="spellStart"/>
      <w:r w:rsidRPr="0088021C">
        <w:t>mergeR</w:t>
      </w:r>
      <w:proofErr w:type="spellEnd"/>
      <w:r w:rsidRPr="0088021C">
        <w:t>. Bioinformatics, 30(5), 614-620.</w:t>
      </w:r>
    </w:p>
    <w:p w14:paraId="0E66169B" w14:textId="7EF9E905" w:rsidR="00241A9A" w:rsidRDefault="00241A9A"/>
    <w:p w14:paraId="5769554A" w14:textId="7A921AB7" w:rsidR="00241A9A" w:rsidRDefault="00241A9A">
      <w:r>
        <w:br w:type="page"/>
      </w:r>
    </w:p>
    <w:p w14:paraId="061A2B26" w14:textId="78DCF614" w:rsidR="00241A9A" w:rsidRDefault="00241A9A" w:rsidP="00241A9A">
      <w:pPr>
        <w:rPr>
          <w:b/>
          <w:bCs/>
          <w:u w:val="single"/>
        </w:rPr>
      </w:pPr>
      <w:r w:rsidRPr="00241A9A">
        <w:rPr>
          <w:b/>
          <w:bCs/>
          <w:u w:val="single"/>
        </w:rPr>
        <w:lastRenderedPageBreak/>
        <w:t>Supplemental Figures</w:t>
      </w:r>
    </w:p>
    <w:p w14:paraId="61734FDF" w14:textId="77777777" w:rsidR="00EC399E" w:rsidRDefault="00EC399E" w:rsidP="00241A9A">
      <w:pPr>
        <w:rPr>
          <w:b/>
          <w:bCs/>
          <w:u w:val="single"/>
        </w:rPr>
      </w:pPr>
    </w:p>
    <w:p w14:paraId="749F0007" w14:textId="0CAC35F7" w:rsidR="006515D0" w:rsidRPr="006515D0" w:rsidRDefault="006515D0" w:rsidP="006515D0">
      <w:pPr>
        <w:numPr>
          <w:ilvl w:val="0"/>
          <w:numId w:val="2"/>
        </w:numPr>
      </w:pPr>
      <w:r w:rsidRPr="006515D0">
        <w:t xml:space="preserve">Table of top 10-20 taxa? </w:t>
      </w:r>
      <w:proofErr w:type="gramStart"/>
      <w:r w:rsidRPr="006515D0">
        <w:t>genera</w:t>
      </w:r>
      <w:proofErr w:type="gramEnd"/>
      <w:r w:rsidRPr="006515D0">
        <w:t>? in pine and eucalypt samples</w:t>
      </w:r>
      <w:r>
        <w:t xml:space="preserve"> –</w:t>
      </w:r>
      <w:r w:rsidRPr="006515D0">
        <w:rPr>
          <w:b/>
          <w:bCs/>
        </w:rPr>
        <w:t xml:space="preserve"> Jake needs to make this</w:t>
      </w:r>
    </w:p>
    <w:p w14:paraId="12D10FF8" w14:textId="63C5BAFF" w:rsidR="006515D0" w:rsidRPr="006515D0" w:rsidRDefault="006515D0" w:rsidP="006515D0">
      <w:pPr>
        <w:numPr>
          <w:ilvl w:val="0"/>
          <w:numId w:val="2"/>
        </w:numPr>
      </w:pPr>
      <w:r w:rsidRPr="006515D0">
        <w:t>Rarefaction Curves</w:t>
      </w:r>
      <w:r>
        <w:t xml:space="preserve"> – </w:t>
      </w:r>
      <w:r w:rsidRPr="006515D0">
        <w:rPr>
          <w:b/>
          <w:bCs/>
        </w:rPr>
        <w:t>Jake needs to make this</w:t>
      </w:r>
    </w:p>
    <w:p w14:paraId="795E67A5" w14:textId="77777777" w:rsidR="006515D0" w:rsidRPr="006515D0" w:rsidRDefault="006515D0" w:rsidP="006515D0">
      <w:pPr>
        <w:numPr>
          <w:ilvl w:val="0"/>
          <w:numId w:val="2"/>
        </w:numPr>
      </w:pPr>
      <w:proofErr w:type="spellStart"/>
      <w:r w:rsidRPr="006515D0">
        <w:t>Ecoplate</w:t>
      </w:r>
      <w:proofErr w:type="spellEnd"/>
      <w:r w:rsidRPr="006515D0">
        <w:t xml:space="preserve"> functional diversity figure</w:t>
      </w:r>
    </w:p>
    <w:p w14:paraId="35BB1AE1" w14:textId="0B0CA2FB" w:rsidR="006515D0" w:rsidRPr="006515D0" w:rsidRDefault="006515D0" w:rsidP="006515D0">
      <w:pPr>
        <w:numPr>
          <w:ilvl w:val="0"/>
          <w:numId w:val="2"/>
        </w:numPr>
      </w:pPr>
      <w:r w:rsidRPr="006515D0">
        <w:rPr>
          <w:strike/>
        </w:rPr>
        <w:t>Effect sizes figure for all non-significant variable</w:t>
      </w:r>
      <w:r>
        <w:t xml:space="preserve"> – we made this into a table that is in S2</w:t>
      </w:r>
    </w:p>
    <w:p w14:paraId="6602FFFB" w14:textId="6CEA0D27" w:rsidR="006515D0" w:rsidRDefault="006515D0" w:rsidP="006515D0">
      <w:pPr>
        <w:numPr>
          <w:ilvl w:val="0"/>
          <w:numId w:val="2"/>
        </w:numPr>
      </w:pPr>
      <w:r w:rsidRPr="006515D0">
        <w:t xml:space="preserve">Stacked </w:t>
      </w:r>
      <w:proofErr w:type="spellStart"/>
      <w:r w:rsidRPr="006515D0">
        <w:t>barplots</w:t>
      </w:r>
      <w:proofErr w:type="spellEnd"/>
      <w:r w:rsidRPr="006515D0">
        <w:t xml:space="preserve"> of </w:t>
      </w:r>
      <w:proofErr w:type="spellStart"/>
      <w:r w:rsidRPr="006515D0">
        <w:t>Suilloids</w:t>
      </w:r>
      <w:proofErr w:type="spellEnd"/>
      <w:r w:rsidRPr="006515D0">
        <w:t>, other ECM</w:t>
      </w:r>
      <w:r w:rsidR="002E5B1D">
        <w:t xml:space="preserve"> – </w:t>
      </w:r>
      <w:r w:rsidR="002E5B1D" w:rsidRPr="0050205C">
        <w:rPr>
          <w:b/>
          <w:bCs/>
        </w:rPr>
        <w:t>done</w:t>
      </w:r>
      <w:r w:rsidR="002E5B1D">
        <w:t>, see below</w:t>
      </w:r>
    </w:p>
    <w:p w14:paraId="21A2A2EA" w14:textId="5D62C72E" w:rsidR="00767105" w:rsidRDefault="00767105" w:rsidP="006515D0">
      <w:pPr>
        <w:numPr>
          <w:ilvl w:val="0"/>
          <w:numId w:val="2"/>
        </w:numPr>
      </w:pPr>
      <w:r>
        <w:t>Spatial autocorrelation figures – get from Elena</w:t>
      </w:r>
    </w:p>
    <w:p w14:paraId="1C340745" w14:textId="77FFD75B" w:rsidR="00767105" w:rsidRDefault="00767105" w:rsidP="006515D0">
      <w:pPr>
        <w:numPr>
          <w:ilvl w:val="0"/>
          <w:numId w:val="2"/>
        </w:numPr>
      </w:pPr>
      <w:proofErr w:type="spellStart"/>
      <w:r>
        <w:t>Ergoesterol~ECM</w:t>
      </w:r>
      <w:proofErr w:type="spellEnd"/>
      <w:r>
        <w:t xml:space="preserve"> abundance*tree species scatterplot</w:t>
      </w:r>
      <w:r w:rsidR="00307397">
        <w:t xml:space="preserve"> and ANOVA table – </w:t>
      </w:r>
      <w:r w:rsidR="0050205C" w:rsidRPr="0050205C">
        <w:rPr>
          <w:b/>
          <w:bCs/>
        </w:rPr>
        <w:t>done and in google doc</w:t>
      </w:r>
      <w:r w:rsidR="0050205C">
        <w:t xml:space="preserve"> - </w:t>
      </w:r>
      <w:r w:rsidR="00307397">
        <w:t xml:space="preserve">maybe we should consider just pasting a p-value and r2 onto the plot instead of </w:t>
      </w:r>
      <w:r w:rsidR="0050205C">
        <w:t>including</w:t>
      </w:r>
      <w:r w:rsidR="00307397">
        <w:t xml:space="preserve"> full </w:t>
      </w:r>
      <w:proofErr w:type="spellStart"/>
      <w:r w:rsidR="00307397">
        <w:t>anova</w:t>
      </w:r>
      <w:proofErr w:type="spellEnd"/>
      <w:r w:rsidR="00307397">
        <w:t xml:space="preserve"> table?</w:t>
      </w:r>
    </w:p>
    <w:p w14:paraId="104B90A6" w14:textId="6E48A073" w:rsidR="007A0C49" w:rsidRDefault="007A0C49" w:rsidP="006515D0">
      <w:pPr>
        <w:numPr>
          <w:ilvl w:val="0"/>
          <w:numId w:val="2"/>
        </w:numPr>
      </w:pPr>
      <w:r>
        <w:t xml:space="preserve">18S </w:t>
      </w:r>
      <w:proofErr w:type="spellStart"/>
      <w:r>
        <w:t>PcoA</w:t>
      </w:r>
      <w:proofErr w:type="spellEnd"/>
      <w:r w:rsidR="00F030C5">
        <w:t xml:space="preserve"> – </w:t>
      </w:r>
      <w:r w:rsidR="00F030C5" w:rsidRPr="0050205C">
        <w:rPr>
          <w:b/>
          <w:bCs/>
        </w:rPr>
        <w:t>done</w:t>
      </w:r>
    </w:p>
    <w:p w14:paraId="7107FEBE" w14:textId="508DDB64" w:rsidR="00F030C5" w:rsidRDefault="00F030C5" w:rsidP="006515D0">
      <w:pPr>
        <w:numPr>
          <w:ilvl w:val="0"/>
          <w:numId w:val="2"/>
        </w:numPr>
      </w:pPr>
      <w:proofErr w:type="spellStart"/>
      <w:r>
        <w:t>dbRDA</w:t>
      </w:r>
      <w:proofErr w:type="spellEnd"/>
      <w:r w:rsidR="0011298C">
        <w:t xml:space="preserve"> for 18S, 16S, ITS</w:t>
      </w:r>
      <w:r>
        <w:t xml:space="preserve"> - </w:t>
      </w:r>
      <w:r w:rsidRPr="0050205C">
        <w:rPr>
          <w:b/>
          <w:bCs/>
        </w:rPr>
        <w:t>done</w:t>
      </w:r>
    </w:p>
    <w:p w14:paraId="31445DEC" w14:textId="77777777" w:rsidR="002E5B1D" w:rsidRDefault="002E5B1D" w:rsidP="002E5B1D"/>
    <w:p w14:paraId="47D57F7D" w14:textId="017086BE" w:rsidR="002E5B1D" w:rsidRPr="002E5B1D" w:rsidRDefault="002E5B1D" w:rsidP="002E5B1D">
      <w:r w:rsidRPr="002E5B1D">
        <w:lastRenderedPageBreak/>
        <w:drawing>
          <wp:inline distT="0" distB="0" distL="0" distR="0" wp14:anchorId="50437B14" wp14:editId="6A078E4C">
            <wp:extent cx="5943600" cy="3979545"/>
            <wp:effectExtent l="0" t="0" r="0" b="1905"/>
            <wp:docPr id="1491589556" name="Picture 2"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89556" name="Picture 2" descr="A graph of different colored bar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79545"/>
                    </a:xfrm>
                    <a:prstGeom prst="rect">
                      <a:avLst/>
                    </a:prstGeom>
                    <a:noFill/>
                    <a:ln>
                      <a:noFill/>
                    </a:ln>
                  </pic:spPr>
                </pic:pic>
              </a:graphicData>
            </a:graphic>
          </wp:inline>
        </w:drawing>
      </w:r>
    </w:p>
    <w:p w14:paraId="2B77D7FC" w14:textId="77777777" w:rsidR="002E5B1D" w:rsidRPr="006515D0" w:rsidRDefault="002E5B1D" w:rsidP="002E5B1D"/>
    <w:p w14:paraId="709C6161" w14:textId="78677BCE" w:rsidR="00241A9A" w:rsidRPr="00E43D86" w:rsidRDefault="00CC48D5" w:rsidP="00241A9A">
      <w:r w:rsidRPr="005D4142">
        <w:rPr>
          <w:b/>
          <w:bCs/>
        </w:rPr>
        <w:t>Suppl</w:t>
      </w:r>
      <w:r w:rsidR="00E43D86" w:rsidRPr="005D4142">
        <w:rPr>
          <w:b/>
          <w:bCs/>
        </w:rPr>
        <w:t>emental Fig S__.</w:t>
      </w:r>
      <w:r w:rsidR="00E43D86">
        <w:t xml:space="preserve"> Relative ITS2 sequence abundance of the introduced northern hemisphere fungal genera </w:t>
      </w:r>
      <w:proofErr w:type="spellStart"/>
      <w:r w:rsidR="00E43D86">
        <w:rPr>
          <w:i/>
          <w:iCs/>
        </w:rPr>
        <w:t>Phialocephala</w:t>
      </w:r>
      <w:proofErr w:type="spellEnd"/>
      <w:r w:rsidR="00E43D86">
        <w:t xml:space="preserve">, </w:t>
      </w:r>
      <w:proofErr w:type="spellStart"/>
      <w:r w:rsidR="00E43D86">
        <w:rPr>
          <w:i/>
          <w:iCs/>
        </w:rPr>
        <w:t>Rhizopogon</w:t>
      </w:r>
      <w:proofErr w:type="spellEnd"/>
      <w:r w:rsidR="00E43D86">
        <w:t xml:space="preserve">, and </w:t>
      </w:r>
      <w:proofErr w:type="spellStart"/>
      <w:r w:rsidR="00E43D86">
        <w:rPr>
          <w:i/>
          <w:iCs/>
        </w:rPr>
        <w:t>Suillus</w:t>
      </w:r>
      <w:proofErr w:type="spellEnd"/>
      <w:r w:rsidR="00E43D86">
        <w:t xml:space="preserve"> </w:t>
      </w:r>
      <w:r w:rsidR="005D4142">
        <w:t xml:space="preserve">and “other ECM” which includes a mix of native ectomycorrhizal fungi, introduced ectomycorrhizal fungi, and fungi for which provenance could not be determined. The “other” category includes fungi with other </w:t>
      </w:r>
      <w:proofErr w:type="gramStart"/>
      <w:r w:rsidR="005D4142">
        <w:t>lifestyles  (</w:t>
      </w:r>
      <w:proofErr w:type="gramEnd"/>
      <w:r w:rsidR="005D4142">
        <w:t xml:space="preserve">a mix of free living saprotrophs, endophytes, plant pathogens, lichenized fungi, </w:t>
      </w:r>
      <w:proofErr w:type="spellStart"/>
      <w:r w:rsidR="005D4142">
        <w:t>etc</w:t>
      </w:r>
      <w:proofErr w:type="spellEnd"/>
      <w:r w:rsidR="005D4142">
        <w:t>)</w:t>
      </w:r>
    </w:p>
    <w:sectPr w:rsidR="00241A9A" w:rsidRPr="00E4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76021"/>
    <w:multiLevelType w:val="multilevel"/>
    <w:tmpl w:val="19B0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321FA"/>
    <w:multiLevelType w:val="multilevel"/>
    <w:tmpl w:val="430A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692582">
    <w:abstractNumId w:val="1"/>
  </w:num>
  <w:num w:numId="2" w16cid:durableId="23693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1B"/>
    <w:rsid w:val="00043409"/>
    <w:rsid w:val="0011298C"/>
    <w:rsid w:val="0019361C"/>
    <w:rsid w:val="001E206A"/>
    <w:rsid w:val="00241A9A"/>
    <w:rsid w:val="00253263"/>
    <w:rsid w:val="002E5B1D"/>
    <w:rsid w:val="002F1E37"/>
    <w:rsid w:val="00307397"/>
    <w:rsid w:val="00344E9D"/>
    <w:rsid w:val="003513A9"/>
    <w:rsid w:val="003E6951"/>
    <w:rsid w:val="004F47CE"/>
    <w:rsid w:val="0050205C"/>
    <w:rsid w:val="00564C65"/>
    <w:rsid w:val="005C1289"/>
    <w:rsid w:val="005D4142"/>
    <w:rsid w:val="006410E8"/>
    <w:rsid w:val="006515D0"/>
    <w:rsid w:val="006664F9"/>
    <w:rsid w:val="006A1D4D"/>
    <w:rsid w:val="00764BE0"/>
    <w:rsid w:val="00767105"/>
    <w:rsid w:val="007A0C49"/>
    <w:rsid w:val="007A1EFB"/>
    <w:rsid w:val="007C021B"/>
    <w:rsid w:val="0088021C"/>
    <w:rsid w:val="009A48BE"/>
    <w:rsid w:val="00A24E42"/>
    <w:rsid w:val="00A5350D"/>
    <w:rsid w:val="00AA2A92"/>
    <w:rsid w:val="00AA3C1F"/>
    <w:rsid w:val="00AC5AEF"/>
    <w:rsid w:val="00B54CD7"/>
    <w:rsid w:val="00BD1DA9"/>
    <w:rsid w:val="00C75A19"/>
    <w:rsid w:val="00C82AEE"/>
    <w:rsid w:val="00CC48D5"/>
    <w:rsid w:val="00D15177"/>
    <w:rsid w:val="00DA5B87"/>
    <w:rsid w:val="00DE02F6"/>
    <w:rsid w:val="00DE19F2"/>
    <w:rsid w:val="00E10AAC"/>
    <w:rsid w:val="00E43D86"/>
    <w:rsid w:val="00EA4EA7"/>
    <w:rsid w:val="00EC399E"/>
    <w:rsid w:val="00EF73C0"/>
    <w:rsid w:val="00F02A86"/>
    <w:rsid w:val="00F030C5"/>
    <w:rsid w:val="00F517CB"/>
    <w:rsid w:val="00F52BB3"/>
    <w:rsid w:val="00F86616"/>
    <w:rsid w:val="00FC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9721"/>
  <w15:chartTrackingRefBased/>
  <w15:docId w15:val="{CA325630-20A1-406F-B615-8B1C4D0A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21B"/>
    <w:rPr>
      <w:rFonts w:eastAsiaTheme="majorEastAsia" w:cstheme="majorBidi"/>
      <w:color w:val="272727" w:themeColor="text1" w:themeTint="D8"/>
    </w:rPr>
  </w:style>
  <w:style w:type="paragraph" w:styleId="Title">
    <w:name w:val="Title"/>
    <w:basedOn w:val="Normal"/>
    <w:next w:val="Normal"/>
    <w:link w:val="TitleChar"/>
    <w:uiPriority w:val="10"/>
    <w:qFormat/>
    <w:rsid w:val="007C0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21B"/>
    <w:pPr>
      <w:spacing w:before="160"/>
      <w:jc w:val="center"/>
    </w:pPr>
    <w:rPr>
      <w:i/>
      <w:iCs/>
      <w:color w:val="404040" w:themeColor="text1" w:themeTint="BF"/>
    </w:rPr>
  </w:style>
  <w:style w:type="character" w:customStyle="1" w:styleId="QuoteChar">
    <w:name w:val="Quote Char"/>
    <w:basedOn w:val="DefaultParagraphFont"/>
    <w:link w:val="Quote"/>
    <w:uiPriority w:val="29"/>
    <w:rsid w:val="007C021B"/>
    <w:rPr>
      <w:i/>
      <w:iCs/>
      <w:color w:val="404040" w:themeColor="text1" w:themeTint="BF"/>
    </w:rPr>
  </w:style>
  <w:style w:type="paragraph" w:styleId="ListParagraph">
    <w:name w:val="List Paragraph"/>
    <w:basedOn w:val="Normal"/>
    <w:uiPriority w:val="34"/>
    <w:qFormat/>
    <w:rsid w:val="007C021B"/>
    <w:pPr>
      <w:ind w:left="720"/>
      <w:contextualSpacing/>
    </w:pPr>
  </w:style>
  <w:style w:type="character" w:styleId="IntenseEmphasis">
    <w:name w:val="Intense Emphasis"/>
    <w:basedOn w:val="DefaultParagraphFont"/>
    <w:uiPriority w:val="21"/>
    <w:qFormat/>
    <w:rsid w:val="007C021B"/>
    <w:rPr>
      <w:i/>
      <w:iCs/>
      <w:color w:val="0F4761" w:themeColor="accent1" w:themeShade="BF"/>
    </w:rPr>
  </w:style>
  <w:style w:type="paragraph" w:styleId="IntenseQuote">
    <w:name w:val="Intense Quote"/>
    <w:basedOn w:val="Normal"/>
    <w:next w:val="Normal"/>
    <w:link w:val="IntenseQuoteChar"/>
    <w:uiPriority w:val="30"/>
    <w:qFormat/>
    <w:rsid w:val="007C0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21B"/>
    <w:rPr>
      <w:i/>
      <w:iCs/>
      <w:color w:val="0F4761" w:themeColor="accent1" w:themeShade="BF"/>
    </w:rPr>
  </w:style>
  <w:style w:type="character" w:styleId="IntenseReference">
    <w:name w:val="Intense Reference"/>
    <w:basedOn w:val="DefaultParagraphFont"/>
    <w:uiPriority w:val="32"/>
    <w:qFormat/>
    <w:rsid w:val="007C0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73406">
      <w:bodyDiv w:val="1"/>
      <w:marLeft w:val="0"/>
      <w:marRight w:val="0"/>
      <w:marTop w:val="0"/>
      <w:marBottom w:val="0"/>
      <w:divBdr>
        <w:top w:val="none" w:sz="0" w:space="0" w:color="auto"/>
        <w:left w:val="none" w:sz="0" w:space="0" w:color="auto"/>
        <w:bottom w:val="none" w:sz="0" w:space="0" w:color="auto"/>
        <w:right w:val="none" w:sz="0" w:space="0" w:color="auto"/>
      </w:divBdr>
    </w:div>
    <w:div w:id="922757848">
      <w:bodyDiv w:val="1"/>
      <w:marLeft w:val="0"/>
      <w:marRight w:val="0"/>
      <w:marTop w:val="0"/>
      <w:marBottom w:val="0"/>
      <w:divBdr>
        <w:top w:val="none" w:sz="0" w:space="0" w:color="auto"/>
        <w:left w:val="none" w:sz="0" w:space="0" w:color="auto"/>
        <w:bottom w:val="none" w:sz="0" w:space="0" w:color="auto"/>
        <w:right w:val="none" w:sz="0" w:space="0" w:color="auto"/>
      </w:divBdr>
    </w:div>
    <w:div w:id="938754970">
      <w:bodyDiv w:val="1"/>
      <w:marLeft w:val="0"/>
      <w:marRight w:val="0"/>
      <w:marTop w:val="0"/>
      <w:marBottom w:val="0"/>
      <w:divBdr>
        <w:top w:val="none" w:sz="0" w:space="0" w:color="auto"/>
        <w:left w:val="none" w:sz="0" w:space="0" w:color="auto"/>
        <w:bottom w:val="none" w:sz="0" w:space="0" w:color="auto"/>
        <w:right w:val="none" w:sz="0" w:space="0" w:color="auto"/>
      </w:divBdr>
      <w:divsChild>
        <w:div w:id="951863976">
          <w:marLeft w:val="0"/>
          <w:marRight w:val="0"/>
          <w:marTop w:val="0"/>
          <w:marBottom w:val="0"/>
          <w:divBdr>
            <w:top w:val="none" w:sz="0" w:space="0" w:color="auto"/>
            <w:left w:val="none" w:sz="0" w:space="0" w:color="auto"/>
            <w:bottom w:val="none" w:sz="0" w:space="0" w:color="auto"/>
            <w:right w:val="none" w:sz="0" w:space="0" w:color="auto"/>
          </w:divBdr>
        </w:div>
      </w:divsChild>
    </w:div>
    <w:div w:id="1293561218">
      <w:bodyDiv w:val="1"/>
      <w:marLeft w:val="0"/>
      <w:marRight w:val="0"/>
      <w:marTop w:val="0"/>
      <w:marBottom w:val="0"/>
      <w:divBdr>
        <w:top w:val="none" w:sz="0" w:space="0" w:color="auto"/>
        <w:left w:val="none" w:sz="0" w:space="0" w:color="auto"/>
        <w:bottom w:val="none" w:sz="0" w:space="0" w:color="auto"/>
        <w:right w:val="none" w:sz="0" w:space="0" w:color="auto"/>
      </w:divBdr>
    </w:div>
    <w:div w:id="1322546123">
      <w:bodyDiv w:val="1"/>
      <w:marLeft w:val="0"/>
      <w:marRight w:val="0"/>
      <w:marTop w:val="0"/>
      <w:marBottom w:val="0"/>
      <w:divBdr>
        <w:top w:val="none" w:sz="0" w:space="0" w:color="auto"/>
        <w:left w:val="none" w:sz="0" w:space="0" w:color="auto"/>
        <w:bottom w:val="none" w:sz="0" w:space="0" w:color="auto"/>
        <w:right w:val="none" w:sz="0" w:space="0" w:color="auto"/>
      </w:divBdr>
    </w:div>
    <w:div w:id="1476947231">
      <w:bodyDiv w:val="1"/>
      <w:marLeft w:val="0"/>
      <w:marRight w:val="0"/>
      <w:marTop w:val="0"/>
      <w:marBottom w:val="0"/>
      <w:divBdr>
        <w:top w:val="none" w:sz="0" w:space="0" w:color="auto"/>
        <w:left w:val="none" w:sz="0" w:space="0" w:color="auto"/>
        <w:bottom w:val="none" w:sz="0" w:space="0" w:color="auto"/>
        <w:right w:val="none" w:sz="0" w:space="0" w:color="auto"/>
      </w:divBdr>
    </w:div>
    <w:div w:id="1796680524">
      <w:bodyDiv w:val="1"/>
      <w:marLeft w:val="0"/>
      <w:marRight w:val="0"/>
      <w:marTop w:val="0"/>
      <w:marBottom w:val="0"/>
      <w:divBdr>
        <w:top w:val="none" w:sz="0" w:space="0" w:color="auto"/>
        <w:left w:val="none" w:sz="0" w:space="0" w:color="auto"/>
        <w:bottom w:val="none" w:sz="0" w:space="0" w:color="auto"/>
        <w:right w:val="none" w:sz="0" w:space="0" w:color="auto"/>
      </w:divBdr>
    </w:div>
    <w:div w:id="1852988154">
      <w:bodyDiv w:val="1"/>
      <w:marLeft w:val="0"/>
      <w:marRight w:val="0"/>
      <w:marTop w:val="0"/>
      <w:marBottom w:val="0"/>
      <w:divBdr>
        <w:top w:val="none" w:sz="0" w:space="0" w:color="auto"/>
        <w:left w:val="none" w:sz="0" w:space="0" w:color="auto"/>
        <w:bottom w:val="none" w:sz="0" w:space="0" w:color="auto"/>
        <w:right w:val="none" w:sz="0" w:space="0" w:color="auto"/>
      </w:divBdr>
    </w:div>
    <w:div w:id="1927105698">
      <w:bodyDiv w:val="1"/>
      <w:marLeft w:val="0"/>
      <w:marRight w:val="0"/>
      <w:marTop w:val="0"/>
      <w:marBottom w:val="0"/>
      <w:divBdr>
        <w:top w:val="none" w:sz="0" w:space="0" w:color="auto"/>
        <w:left w:val="none" w:sz="0" w:space="0" w:color="auto"/>
        <w:bottom w:val="none" w:sz="0" w:space="0" w:color="auto"/>
        <w:right w:val="none" w:sz="0" w:space="0" w:color="auto"/>
      </w:divBdr>
      <w:divsChild>
        <w:div w:id="650599754">
          <w:marLeft w:val="0"/>
          <w:marRight w:val="0"/>
          <w:marTop w:val="0"/>
          <w:marBottom w:val="0"/>
          <w:divBdr>
            <w:top w:val="none" w:sz="0" w:space="0" w:color="auto"/>
            <w:left w:val="none" w:sz="0" w:space="0" w:color="auto"/>
            <w:bottom w:val="none" w:sz="0" w:space="0" w:color="auto"/>
            <w:right w:val="none" w:sz="0" w:space="0" w:color="auto"/>
          </w:divBdr>
        </w:div>
      </w:divsChild>
    </w:div>
    <w:div w:id="20693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1785</Words>
  <Characters>10181</Characters>
  <Application>Microsoft Office Word</Application>
  <DocSecurity>0</DocSecurity>
  <Lines>84</Lines>
  <Paragraphs>23</Paragraphs>
  <ScaleCrop>false</ScaleCrop>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nash</dc:creator>
  <cp:keywords/>
  <dc:description/>
  <cp:lastModifiedBy>jake nash</cp:lastModifiedBy>
  <cp:revision>52</cp:revision>
  <dcterms:created xsi:type="dcterms:W3CDTF">2025-01-23T16:46:00Z</dcterms:created>
  <dcterms:modified xsi:type="dcterms:W3CDTF">2025-01-24T17:01:00Z</dcterms:modified>
</cp:coreProperties>
</file>