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C701" w14:textId="77777777" w:rsidR="00FB67DE" w:rsidRDefault="00FB67DE">
      <w:pPr>
        <w:spacing w:line="360" w:lineRule="auto"/>
        <w:ind w:right="-466"/>
        <w:jc w:val="center"/>
        <w:rPr>
          <w:rFonts w:ascii="Times New Roman" w:eastAsia="Times New Roman" w:hAnsi="Times New Roman" w:cs="Times New Roman"/>
          <w:b/>
          <w:color w:val="222222"/>
          <w:sz w:val="40"/>
          <w:szCs w:val="40"/>
        </w:rPr>
      </w:pPr>
      <w:bookmarkStart w:id="0" w:name="_gjdgxs" w:colFirst="0" w:colLast="0"/>
      <w:bookmarkEnd w:id="0"/>
    </w:p>
    <w:p w14:paraId="22A52717" w14:textId="77777777" w:rsidR="00FB67DE" w:rsidRDefault="00FB67DE">
      <w:pPr>
        <w:spacing w:line="360" w:lineRule="auto"/>
        <w:ind w:right="-466"/>
        <w:jc w:val="center"/>
        <w:rPr>
          <w:rFonts w:ascii="Times New Roman" w:eastAsia="Times New Roman" w:hAnsi="Times New Roman" w:cs="Times New Roman"/>
          <w:b/>
          <w:color w:val="222222"/>
          <w:sz w:val="40"/>
          <w:szCs w:val="40"/>
        </w:rPr>
      </w:pPr>
    </w:p>
    <w:p w14:paraId="34D959E6" w14:textId="77777777" w:rsidR="00FB67DE" w:rsidRDefault="00FB67DE">
      <w:pPr>
        <w:spacing w:line="360" w:lineRule="auto"/>
        <w:ind w:right="-466"/>
        <w:jc w:val="center"/>
        <w:rPr>
          <w:rFonts w:ascii="Times New Roman" w:eastAsia="Times New Roman" w:hAnsi="Times New Roman" w:cs="Times New Roman"/>
          <w:b/>
          <w:color w:val="222222"/>
          <w:sz w:val="40"/>
          <w:szCs w:val="40"/>
        </w:rPr>
      </w:pPr>
    </w:p>
    <w:p w14:paraId="115A9D68" w14:textId="77777777" w:rsidR="00FB67DE" w:rsidRDefault="00FB67DE">
      <w:pPr>
        <w:spacing w:line="360" w:lineRule="auto"/>
        <w:ind w:right="-466"/>
        <w:jc w:val="center"/>
        <w:rPr>
          <w:rFonts w:ascii="Times New Roman" w:eastAsia="Times New Roman" w:hAnsi="Times New Roman" w:cs="Times New Roman"/>
          <w:b/>
          <w:color w:val="222222"/>
          <w:sz w:val="40"/>
          <w:szCs w:val="40"/>
        </w:rPr>
      </w:pPr>
    </w:p>
    <w:p w14:paraId="5C5551E2" w14:textId="77777777" w:rsidR="00FB67DE" w:rsidRDefault="00FB67DE">
      <w:pPr>
        <w:spacing w:line="360" w:lineRule="auto"/>
        <w:ind w:right="-466"/>
        <w:jc w:val="center"/>
        <w:rPr>
          <w:rFonts w:ascii="Times New Roman" w:eastAsia="Times New Roman" w:hAnsi="Times New Roman" w:cs="Times New Roman"/>
          <w:b/>
          <w:color w:val="222222"/>
          <w:sz w:val="40"/>
          <w:szCs w:val="40"/>
        </w:rPr>
      </w:pPr>
    </w:p>
    <w:p w14:paraId="5033204B" w14:textId="77777777" w:rsidR="00FB67DE" w:rsidRDefault="00FB67DE">
      <w:pPr>
        <w:spacing w:line="360" w:lineRule="auto"/>
        <w:ind w:right="-466"/>
        <w:jc w:val="center"/>
        <w:rPr>
          <w:rFonts w:ascii="Times New Roman" w:eastAsia="Times New Roman" w:hAnsi="Times New Roman" w:cs="Times New Roman"/>
          <w:b/>
          <w:color w:val="222222"/>
          <w:sz w:val="40"/>
          <w:szCs w:val="40"/>
        </w:rPr>
      </w:pPr>
    </w:p>
    <w:p w14:paraId="546ACB3D" w14:textId="77777777" w:rsidR="00FB67DE" w:rsidRDefault="00000000">
      <w:pPr>
        <w:spacing w:line="360" w:lineRule="auto"/>
        <w:ind w:right="-466"/>
        <w:jc w:val="center"/>
        <w:rPr>
          <w:rFonts w:ascii="Times New Roman" w:eastAsia="Times New Roman" w:hAnsi="Times New Roman" w:cs="Times New Roman"/>
          <w:b/>
          <w:color w:val="222222"/>
          <w:sz w:val="40"/>
          <w:szCs w:val="40"/>
        </w:rPr>
      </w:pPr>
      <w:r>
        <w:rPr>
          <w:rFonts w:ascii="Times New Roman" w:eastAsia="Times New Roman" w:hAnsi="Times New Roman" w:cs="Times New Roman"/>
          <w:b/>
          <w:color w:val="222222"/>
          <w:sz w:val="40"/>
          <w:szCs w:val="40"/>
        </w:rPr>
        <w:t>MENTAL HEALTH PROGRAMS FOR THE UK-BASED LGBTQ COMMUNITY THROUGH EDUCATION AND EMPLOYMENT OPPORTUNITIES</w:t>
      </w:r>
    </w:p>
    <w:p w14:paraId="2003D5E1" w14:textId="31AFF919" w:rsidR="00FB67DE"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sz w:val="48"/>
          <w:szCs w:val="48"/>
        </w:rPr>
        <w:t xml:space="preserve">        </w:t>
      </w:r>
      <w:proofErr w:type="gramStart"/>
      <w:r>
        <w:rPr>
          <w:rFonts w:ascii="Times New Roman" w:eastAsia="Times New Roman" w:hAnsi="Times New Roman" w:cs="Times New Roman"/>
          <w:b/>
          <w:sz w:val="48"/>
          <w:szCs w:val="48"/>
        </w:rPr>
        <w:t>Author :</w:t>
      </w:r>
      <w:proofErr w:type="gramEnd"/>
      <w:r>
        <w:rPr>
          <w:rFonts w:ascii="Times New Roman" w:eastAsia="Times New Roman" w:hAnsi="Times New Roman" w:cs="Times New Roman"/>
          <w:b/>
          <w:sz w:val="48"/>
          <w:szCs w:val="48"/>
        </w:rPr>
        <w:t xml:space="preserve"> Jacob </w:t>
      </w:r>
      <w:proofErr w:type="spellStart"/>
      <w:r>
        <w:rPr>
          <w:rFonts w:ascii="Times New Roman" w:eastAsia="Times New Roman" w:hAnsi="Times New Roman" w:cs="Times New Roman"/>
          <w:b/>
          <w:sz w:val="48"/>
          <w:szCs w:val="48"/>
        </w:rPr>
        <w:t>Ninan</w:t>
      </w:r>
      <w:proofErr w:type="spellEnd"/>
      <w:r>
        <w:rPr>
          <w:rFonts w:ascii="Times New Roman" w:eastAsia="Times New Roman" w:hAnsi="Times New Roman" w:cs="Times New Roman"/>
          <w:b/>
          <w:sz w:val="48"/>
          <w:szCs w:val="48"/>
        </w:rPr>
        <w:t xml:space="preserve"> T</w:t>
      </w:r>
      <w:r w:rsidR="009E75FB">
        <w:rPr>
          <w:rFonts w:ascii="Times New Roman" w:eastAsia="Times New Roman" w:hAnsi="Times New Roman" w:cs="Times New Roman"/>
          <w:b/>
          <w:sz w:val="48"/>
          <w:szCs w:val="48"/>
        </w:rPr>
        <w:t>ha</w:t>
      </w:r>
      <w:r>
        <w:rPr>
          <w:rFonts w:ascii="Times New Roman" w:eastAsia="Times New Roman" w:hAnsi="Times New Roman" w:cs="Times New Roman"/>
          <w:b/>
          <w:sz w:val="48"/>
          <w:szCs w:val="48"/>
        </w:rPr>
        <w:t>rakan</w:t>
      </w:r>
    </w:p>
    <w:p w14:paraId="4E30CFBC" w14:textId="77777777" w:rsidR="00FB67DE" w:rsidRDefault="00FB67DE">
      <w:pPr>
        <w:rPr>
          <w:rFonts w:ascii="Times New Roman" w:eastAsia="Times New Roman" w:hAnsi="Times New Roman" w:cs="Times New Roman"/>
          <w:color w:val="222222"/>
          <w:sz w:val="24"/>
          <w:szCs w:val="24"/>
        </w:rPr>
      </w:pPr>
    </w:p>
    <w:p w14:paraId="419E4593" w14:textId="77777777" w:rsidR="00FB67DE" w:rsidRDefault="00FB67DE">
      <w:pPr>
        <w:keepNext/>
        <w:keepLines/>
        <w:pBdr>
          <w:top w:val="nil"/>
          <w:left w:val="nil"/>
          <w:bottom w:val="nil"/>
          <w:right w:val="nil"/>
          <w:between w:val="nil"/>
        </w:pBdr>
        <w:spacing w:before="480"/>
        <w:jc w:val="center"/>
        <w:rPr>
          <w:rFonts w:ascii="Times New Roman" w:eastAsia="Times New Roman" w:hAnsi="Times New Roman" w:cs="Times New Roman"/>
          <w:b/>
          <w:sz w:val="28"/>
          <w:szCs w:val="28"/>
        </w:rPr>
      </w:pPr>
    </w:p>
    <w:p w14:paraId="6FDFEFEA" w14:textId="77777777" w:rsidR="00FB67DE" w:rsidRDefault="00FB67DE">
      <w:pPr>
        <w:keepNext/>
        <w:keepLines/>
        <w:pBdr>
          <w:top w:val="nil"/>
          <w:left w:val="nil"/>
          <w:bottom w:val="nil"/>
          <w:right w:val="nil"/>
          <w:between w:val="nil"/>
        </w:pBdr>
        <w:spacing w:before="480"/>
        <w:rPr>
          <w:rFonts w:ascii="Times New Roman" w:eastAsia="Times New Roman" w:hAnsi="Times New Roman" w:cs="Times New Roman"/>
          <w:b/>
          <w:sz w:val="28"/>
          <w:szCs w:val="28"/>
        </w:rPr>
      </w:pPr>
    </w:p>
    <w:p w14:paraId="7D03EA33" w14:textId="77777777" w:rsidR="00FB67DE" w:rsidRDefault="00FB67DE">
      <w:pPr>
        <w:keepNext/>
        <w:keepLines/>
        <w:pBdr>
          <w:top w:val="nil"/>
          <w:left w:val="nil"/>
          <w:bottom w:val="nil"/>
          <w:right w:val="nil"/>
          <w:between w:val="nil"/>
        </w:pBdr>
        <w:spacing w:before="480"/>
        <w:jc w:val="center"/>
        <w:rPr>
          <w:rFonts w:ascii="Times New Roman" w:eastAsia="Times New Roman" w:hAnsi="Times New Roman" w:cs="Times New Roman"/>
          <w:b/>
          <w:sz w:val="28"/>
          <w:szCs w:val="28"/>
        </w:rPr>
      </w:pPr>
    </w:p>
    <w:p w14:paraId="1A3CB305" w14:textId="77777777" w:rsidR="00FB67DE" w:rsidRDefault="00FB67DE">
      <w:pPr>
        <w:keepNext/>
        <w:keepLines/>
        <w:pBdr>
          <w:top w:val="nil"/>
          <w:left w:val="nil"/>
          <w:bottom w:val="nil"/>
          <w:right w:val="nil"/>
          <w:between w:val="nil"/>
        </w:pBdr>
        <w:spacing w:before="480"/>
        <w:rPr>
          <w:rFonts w:ascii="Times New Roman" w:eastAsia="Times New Roman" w:hAnsi="Times New Roman" w:cs="Times New Roman"/>
          <w:b/>
          <w:sz w:val="28"/>
          <w:szCs w:val="28"/>
        </w:rPr>
      </w:pPr>
    </w:p>
    <w:p w14:paraId="25AC9079" w14:textId="77777777" w:rsidR="00FB67DE" w:rsidRDefault="00FB67DE">
      <w:pPr>
        <w:keepNext/>
        <w:keepLines/>
        <w:pBdr>
          <w:top w:val="nil"/>
          <w:left w:val="nil"/>
          <w:bottom w:val="nil"/>
          <w:right w:val="nil"/>
          <w:between w:val="nil"/>
        </w:pBdr>
        <w:spacing w:before="480"/>
        <w:jc w:val="center"/>
        <w:rPr>
          <w:rFonts w:ascii="Times New Roman" w:eastAsia="Times New Roman" w:hAnsi="Times New Roman" w:cs="Times New Roman"/>
          <w:b/>
          <w:sz w:val="28"/>
          <w:szCs w:val="28"/>
        </w:rPr>
      </w:pPr>
    </w:p>
    <w:p w14:paraId="682F3AA3" w14:textId="77777777" w:rsidR="00FB67DE" w:rsidRDefault="00FB67DE">
      <w:pPr>
        <w:keepNext/>
        <w:keepLines/>
        <w:pBdr>
          <w:top w:val="nil"/>
          <w:left w:val="nil"/>
          <w:bottom w:val="nil"/>
          <w:right w:val="nil"/>
          <w:between w:val="nil"/>
        </w:pBdr>
        <w:spacing w:before="480"/>
        <w:jc w:val="center"/>
        <w:rPr>
          <w:rFonts w:ascii="Times New Roman" w:eastAsia="Times New Roman" w:hAnsi="Times New Roman" w:cs="Times New Roman"/>
          <w:b/>
          <w:sz w:val="28"/>
          <w:szCs w:val="28"/>
        </w:rPr>
      </w:pPr>
    </w:p>
    <w:p w14:paraId="76E96065" w14:textId="77777777" w:rsidR="00FB67DE" w:rsidRDefault="00000000">
      <w:pPr>
        <w:keepNext/>
        <w:keepLines/>
        <w:pBdr>
          <w:top w:val="nil"/>
          <w:left w:val="nil"/>
          <w:bottom w:val="nil"/>
          <w:right w:val="nil"/>
          <w:between w:val="nil"/>
        </w:pBdr>
        <w:spacing w:before="48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Table of Contents</w:t>
      </w:r>
    </w:p>
    <w:sdt>
      <w:sdtPr>
        <w:id w:val="1671448981"/>
        <w:docPartObj>
          <w:docPartGallery w:val="Table of Contents"/>
          <w:docPartUnique/>
        </w:docPartObj>
      </w:sdtPr>
      <w:sdtContent>
        <w:p w14:paraId="7223F315" w14:textId="77777777" w:rsidR="00FB67DE" w:rsidRDefault="00000000">
          <w:pPr>
            <w:pBdr>
              <w:top w:val="nil"/>
              <w:left w:val="nil"/>
              <w:bottom w:val="nil"/>
              <w:right w:val="nil"/>
              <w:between w:val="nil"/>
            </w:pBdr>
            <w:tabs>
              <w:tab w:val="right" w:pos="9019"/>
            </w:tabs>
            <w:spacing w:after="10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color w:val="000000"/>
              </w:rPr>
              <w:t>Introduction………………………………………………………………………………………..…..3</w:t>
            </w:r>
          </w:hyperlink>
          <w:hyperlink w:anchor="_1fob9te">
            <w:r>
              <w:rPr>
                <w:rFonts w:ascii="Times New Roman" w:eastAsia="Times New Roman" w:hAnsi="Times New Roman" w:cs="Times New Roman"/>
                <w:b/>
                <w:color w:val="000000"/>
              </w:rPr>
              <w:t>Complex intervention overview ……………………………………………………………………...3</w:t>
            </w:r>
            <w:r>
              <w:rPr>
                <w:rFonts w:ascii="Times New Roman" w:eastAsia="Times New Roman" w:hAnsi="Times New Roman" w:cs="Times New Roman"/>
                <w:b/>
                <w:color w:val="000000"/>
              </w:rPr>
              <w:tab/>
              <w:t xml:space="preserve">                           </w:t>
            </w:r>
          </w:hyperlink>
        </w:p>
        <w:p w14:paraId="68315826"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222222"/>
              <w:sz w:val="24"/>
              <w:szCs w:val="24"/>
            </w:rPr>
            <w:t xml:space="preserve">Economical factor                                                                                                                     4  </w:t>
          </w:r>
        </w:p>
        <w:p w14:paraId="480F9CD2"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Social factors                                                                                                                             4</w:t>
          </w:r>
        </w:p>
        <w:p w14:paraId="19FFF72A"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Communication gap                                                                                                                  5</w:t>
          </w:r>
        </w:p>
        <w:p w14:paraId="0BB9B5B1"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Education and employment opportunities                                                                                5</w:t>
          </w:r>
        </w:p>
        <w:p w14:paraId="6E7BF9F3"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Behavioural traits                                                                                                                      5 </w:t>
          </w:r>
        </w:p>
        <w:p w14:paraId="2530D764"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Strength and weakness of complex intervention                                                                      5</w:t>
          </w:r>
        </w:p>
        <w:p w14:paraId="5DC3D165"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3C450721" w14:textId="77777777" w:rsidR="00FB67DE" w:rsidRDefault="00000000">
          <w:pPr>
            <w:pBdr>
              <w:top w:val="nil"/>
              <w:left w:val="nil"/>
              <w:bottom w:val="nil"/>
              <w:right w:val="nil"/>
              <w:between w:val="nil"/>
            </w:pBdr>
            <w:tabs>
              <w:tab w:val="right" w:pos="9019"/>
            </w:tabs>
            <w:spacing w:after="100"/>
            <w:jc w:val="center"/>
            <w:rPr>
              <w:rFonts w:ascii="Times New Roman" w:eastAsia="Times New Roman" w:hAnsi="Times New Roman" w:cs="Times New Roman"/>
              <w:b/>
              <w:color w:val="000000"/>
            </w:rPr>
          </w:pPr>
          <w:hyperlink w:anchor="_3znysh7">
            <w:r>
              <w:rPr>
                <w:rFonts w:ascii="Times New Roman" w:eastAsia="Times New Roman" w:hAnsi="Times New Roman" w:cs="Times New Roman"/>
                <w:b/>
                <w:color w:val="000000"/>
              </w:rPr>
              <w:t>Evaluation plan ………………………………………………………………………………………6</w:t>
            </w:r>
          </w:hyperlink>
        </w:p>
        <w:p w14:paraId="3F2F44FF"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222222"/>
              <w:sz w:val="24"/>
              <w:szCs w:val="24"/>
            </w:rPr>
            <w:t>Research perspective                                                                                                                 6</w:t>
          </w:r>
        </w:p>
        <w:p w14:paraId="1376B378"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Research design and rationale                                                                                                   7</w:t>
          </w:r>
        </w:p>
        <w:p w14:paraId="4BCFCB59"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 Range of factors required for measurement                                                                              7          </w:t>
          </w:r>
        </w:p>
        <w:p w14:paraId="7DB8FD7B"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22222"/>
              <w:sz w:val="24"/>
              <w:szCs w:val="24"/>
            </w:rPr>
            <w:t>Cost-effectiveness measurement                                                                                               8</w:t>
          </w:r>
        </w:p>
        <w:p w14:paraId="3CE143F5" w14:textId="77777777" w:rsidR="00FB67DE" w:rsidRDefault="00000000">
          <w:pPr>
            <w:pBdr>
              <w:top w:val="nil"/>
              <w:left w:val="nil"/>
              <w:bottom w:val="nil"/>
              <w:right w:val="nil"/>
              <w:between w:val="nil"/>
            </w:pBdr>
            <w:shd w:val="clear" w:color="auto" w:fill="FFFFFF"/>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 Relevant stakeholders and their importance                                                                              9     </w:t>
          </w:r>
        </w:p>
        <w:p w14:paraId="28F8D39D" w14:textId="77777777" w:rsidR="00FB67DE" w:rsidRDefault="00000000">
          <w:pPr>
            <w:pBdr>
              <w:top w:val="nil"/>
              <w:left w:val="nil"/>
              <w:bottom w:val="nil"/>
              <w:right w:val="nil"/>
              <w:between w:val="nil"/>
            </w:pBdr>
            <w:tabs>
              <w:tab w:val="right" w:pos="9019"/>
            </w:tabs>
            <w:spacing w:after="100"/>
            <w:rPr>
              <w:rFonts w:ascii="Times New Roman" w:eastAsia="Times New Roman" w:hAnsi="Times New Roman" w:cs="Times New Roman"/>
              <w:b/>
              <w:color w:val="000000"/>
            </w:rPr>
          </w:pPr>
          <w:hyperlink w:anchor="_2et92p0">
            <w:r>
              <w:rPr>
                <w:rFonts w:ascii="Times New Roman" w:eastAsia="Times New Roman" w:hAnsi="Times New Roman" w:cs="Times New Roman"/>
                <w:b/>
                <w:color w:val="000000"/>
              </w:rPr>
              <w:t>Conclusion……………………………………………………………………………………………..</w:t>
            </w:r>
            <w:r>
              <w:rPr>
                <w:rFonts w:ascii="Times New Roman" w:eastAsia="Times New Roman" w:hAnsi="Times New Roman" w:cs="Times New Roman"/>
                <w:b/>
                <w:color w:val="000000"/>
              </w:rPr>
              <w:tab/>
              <w:t>9</w:t>
            </w:r>
          </w:hyperlink>
        </w:p>
        <w:p w14:paraId="6CDAFE0E" w14:textId="77777777" w:rsidR="00FB67DE" w:rsidRDefault="00000000">
          <w:pPr>
            <w:pBdr>
              <w:top w:val="nil"/>
              <w:left w:val="nil"/>
              <w:bottom w:val="nil"/>
              <w:right w:val="nil"/>
              <w:between w:val="nil"/>
            </w:pBdr>
            <w:tabs>
              <w:tab w:val="right" w:pos="9019"/>
            </w:tabs>
            <w:spacing w:after="100"/>
            <w:jc w:val="center"/>
            <w:rPr>
              <w:rFonts w:ascii="Times New Roman" w:eastAsia="Times New Roman" w:hAnsi="Times New Roman" w:cs="Times New Roman"/>
              <w:color w:val="000000"/>
            </w:rPr>
          </w:pPr>
          <w:hyperlink w:anchor="_tyjcwt">
            <w:r>
              <w:rPr>
                <w:rFonts w:ascii="Times New Roman" w:eastAsia="Times New Roman" w:hAnsi="Times New Roman" w:cs="Times New Roman"/>
                <w:b/>
                <w:color w:val="000000"/>
              </w:rPr>
              <w:t>References…………………………………………………………………………………………….</w:t>
            </w:r>
            <w:r>
              <w:rPr>
                <w:rFonts w:ascii="Times New Roman" w:eastAsia="Times New Roman" w:hAnsi="Times New Roman" w:cs="Times New Roman"/>
                <w:b/>
                <w:color w:val="000000"/>
              </w:rPr>
              <w:tab/>
            </w:r>
          </w:hyperlink>
          <w:r>
            <w:rPr>
              <w:rFonts w:ascii="Times New Roman" w:eastAsia="Times New Roman" w:hAnsi="Times New Roman" w:cs="Times New Roman"/>
              <w:b/>
              <w:color w:val="000000"/>
            </w:rPr>
            <w:t>11</w:t>
          </w:r>
        </w:p>
        <w:p w14:paraId="28515EFE" w14:textId="77777777" w:rsidR="00FB67DE" w:rsidRDefault="00000000">
          <w:pPr>
            <w:jc w:val="center"/>
          </w:pPr>
          <w:r>
            <w:fldChar w:fldCharType="end"/>
          </w:r>
        </w:p>
      </w:sdtContent>
    </w:sdt>
    <w:p w14:paraId="54B5EC25" w14:textId="77777777" w:rsidR="00FB67DE" w:rsidRDefault="00FB67DE">
      <w:pPr>
        <w:rPr>
          <w:rFonts w:ascii="Times New Roman" w:eastAsia="Times New Roman" w:hAnsi="Times New Roman" w:cs="Times New Roman"/>
          <w:color w:val="222222"/>
          <w:sz w:val="24"/>
          <w:szCs w:val="24"/>
        </w:rPr>
      </w:pPr>
    </w:p>
    <w:p w14:paraId="62313848" w14:textId="77777777" w:rsidR="00FB67DE" w:rsidRDefault="00000000">
      <w:pPr>
        <w:rPr>
          <w:rFonts w:ascii="Times New Roman" w:eastAsia="Times New Roman" w:hAnsi="Times New Roman" w:cs="Times New Roman"/>
          <w:color w:val="222222"/>
          <w:sz w:val="24"/>
          <w:szCs w:val="24"/>
        </w:rPr>
      </w:pPr>
      <w:r>
        <w:br w:type="page"/>
      </w:r>
    </w:p>
    <w:p w14:paraId="15491121" w14:textId="77777777" w:rsidR="00FB67DE" w:rsidRDefault="00FB67DE">
      <w:pPr>
        <w:spacing w:line="360" w:lineRule="auto"/>
        <w:ind w:right="-466"/>
        <w:jc w:val="both"/>
        <w:rPr>
          <w:rFonts w:ascii="Times New Roman" w:eastAsia="Times New Roman" w:hAnsi="Times New Roman" w:cs="Times New Roman"/>
          <w:color w:val="222222"/>
          <w:sz w:val="24"/>
          <w:szCs w:val="24"/>
        </w:rPr>
      </w:pPr>
    </w:p>
    <w:p w14:paraId="2F22D2D7" w14:textId="77777777" w:rsidR="00FB67DE" w:rsidRDefault="00000000">
      <w:pPr>
        <w:keepNext/>
        <w:keepLines/>
        <w:pBdr>
          <w:top w:val="nil"/>
          <w:left w:val="nil"/>
          <w:bottom w:val="nil"/>
          <w:right w:val="nil"/>
          <w:between w:val="nil"/>
        </w:pBdr>
        <w:spacing w:before="400" w:after="120"/>
        <w:rPr>
          <w:rFonts w:ascii="Times New Roman" w:eastAsia="Times New Roman" w:hAnsi="Times New Roman" w:cs="Times New Roman"/>
          <w:b/>
          <w:color w:val="000000"/>
          <w:sz w:val="28"/>
          <w:szCs w:val="28"/>
        </w:rPr>
      </w:pPr>
      <w:bookmarkStart w:id="1" w:name="_30j0zll" w:colFirst="0" w:colLast="0"/>
      <w:bookmarkEnd w:id="1"/>
      <w:r>
        <w:rPr>
          <w:rFonts w:ascii="Times New Roman" w:eastAsia="Times New Roman" w:hAnsi="Times New Roman" w:cs="Times New Roman"/>
          <w:b/>
          <w:color w:val="000000"/>
          <w:sz w:val="28"/>
          <w:szCs w:val="28"/>
        </w:rPr>
        <w:t xml:space="preserve">Introduction </w:t>
      </w:r>
    </w:p>
    <w:p w14:paraId="65FF5041"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complex intervention framework provides an opportunity to focus on various aspects and monitor their impact on providing an intervention plan that can help maintain an individual's mental wellbeing (</w:t>
      </w:r>
      <w:proofErr w:type="spellStart"/>
      <w:r>
        <w:rPr>
          <w:rFonts w:ascii="Times New Roman" w:eastAsia="Times New Roman" w:hAnsi="Times New Roman" w:cs="Times New Roman"/>
          <w:color w:val="222222"/>
          <w:sz w:val="24"/>
          <w:szCs w:val="24"/>
        </w:rPr>
        <w:t>Peryer</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et al.</w:t>
      </w:r>
      <w:r>
        <w:rPr>
          <w:rFonts w:ascii="Times New Roman" w:eastAsia="Times New Roman" w:hAnsi="Times New Roman" w:cs="Times New Roman"/>
          <w:color w:val="222222"/>
          <w:sz w:val="24"/>
          <w:szCs w:val="24"/>
        </w:rPr>
        <w:t xml:space="preserve"> 2022). It also deals with several interacting components responsible for creating an impact on human psychology. This study aims to discuss the mental health programs of the United Kingdom-based </w:t>
      </w:r>
      <w:proofErr w:type="gramStart"/>
      <w:r>
        <w:rPr>
          <w:rFonts w:ascii="Times New Roman" w:eastAsia="Times New Roman" w:hAnsi="Times New Roman" w:cs="Times New Roman"/>
          <w:color w:val="222222"/>
          <w:sz w:val="24"/>
          <w:szCs w:val="24"/>
        </w:rPr>
        <w:t>LGBTQ  community</w:t>
      </w:r>
      <w:proofErr w:type="gramEnd"/>
      <w:r>
        <w:rPr>
          <w:rFonts w:ascii="Times New Roman" w:eastAsia="Times New Roman" w:hAnsi="Times New Roman" w:cs="Times New Roman"/>
          <w:color w:val="222222"/>
          <w:sz w:val="24"/>
          <w:szCs w:val="24"/>
        </w:rPr>
        <w:t xml:space="preserve"> through education and employment opportunities and present an evaluation plan. Complex intervention frameworks and evaluation plans have also been considered for developing mental health programs for the LGBTQ community. </w:t>
      </w:r>
      <w:proofErr w:type="gramStart"/>
      <w:r>
        <w:rPr>
          <w:rFonts w:ascii="Times New Roman" w:eastAsia="Times New Roman" w:hAnsi="Times New Roman" w:cs="Times New Roman"/>
          <w:color w:val="222222"/>
          <w:sz w:val="24"/>
          <w:szCs w:val="24"/>
        </w:rPr>
        <w:t>Moreover,  the</w:t>
      </w:r>
      <w:proofErr w:type="gramEnd"/>
      <w:r>
        <w:rPr>
          <w:rFonts w:ascii="Times New Roman" w:eastAsia="Times New Roman" w:hAnsi="Times New Roman" w:cs="Times New Roman"/>
          <w:color w:val="222222"/>
          <w:sz w:val="24"/>
          <w:szCs w:val="24"/>
        </w:rPr>
        <w:t xml:space="preserve"> study also considered a range of factors for analysing the issue. </w:t>
      </w:r>
    </w:p>
    <w:p w14:paraId="0EB6B8C4" w14:textId="77777777" w:rsidR="00FB67DE" w:rsidRDefault="00000000">
      <w:pPr>
        <w:keepNext/>
        <w:keepLines/>
        <w:pBdr>
          <w:top w:val="nil"/>
          <w:left w:val="nil"/>
          <w:bottom w:val="nil"/>
          <w:right w:val="nil"/>
          <w:between w:val="nil"/>
        </w:pBdr>
        <w:spacing w:before="400" w:after="120"/>
        <w:rPr>
          <w:rFonts w:ascii="Times New Roman" w:eastAsia="Times New Roman" w:hAnsi="Times New Roman" w:cs="Times New Roman"/>
          <w:b/>
          <w:color w:val="000000"/>
          <w:sz w:val="28"/>
          <w:szCs w:val="28"/>
        </w:rPr>
      </w:pPr>
      <w:bookmarkStart w:id="2" w:name="_1fob9te" w:colFirst="0" w:colLast="0"/>
      <w:bookmarkEnd w:id="2"/>
      <w:r>
        <w:rPr>
          <w:rFonts w:ascii="Times New Roman" w:eastAsia="Times New Roman" w:hAnsi="Times New Roman" w:cs="Times New Roman"/>
          <w:b/>
          <w:color w:val="000000"/>
          <w:sz w:val="28"/>
          <w:szCs w:val="28"/>
        </w:rPr>
        <w:t xml:space="preserve">Complex intervention overview </w:t>
      </w:r>
    </w:p>
    <w:p w14:paraId="12DAE0F1"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Arranging mental health programs for the LGBTQ community through education and employment opportunities can be a complex intervention. The members of the LGBTQ   community belong to different </w:t>
      </w:r>
      <w:proofErr w:type="gramStart"/>
      <w:r>
        <w:rPr>
          <w:rFonts w:ascii="Times New Roman" w:eastAsia="Times New Roman" w:hAnsi="Times New Roman" w:cs="Times New Roman"/>
          <w:color w:val="222222"/>
          <w:sz w:val="24"/>
          <w:szCs w:val="24"/>
        </w:rPr>
        <w:t>races,  demographic</w:t>
      </w:r>
      <w:proofErr w:type="gramEnd"/>
      <w:r>
        <w:rPr>
          <w:rFonts w:ascii="Times New Roman" w:eastAsia="Times New Roman" w:hAnsi="Times New Roman" w:cs="Times New Roman"/>
          <w:color w:val="222222"/>
          <w:sz w:val="24"/>
          <w:szCs w:val="24"/>
        </w:rPr>
        <w:t xml:space="preserve">,  socio-linguistics, and socio-cultural backgrounds (Berner </w:t>
      </w:r>
      <w:r>
        <w:rPr>
          <w:rFonts w:ascii="Times New Roman" w:eastAsia="Times New Roman" w:hAnsi="Times New Roman" w:cs="Times New Roman"/>
          <w:i/>
          <w:color w:val="222222"/>
          <w:sz w:val="24"/>
          <w:szCs w:val="24"/>
        </w:rPr>
        <w:t>et al.</w:t>
      </w:r>
      <w:r>
        <w:rPr>
          <w:rFonts w:ascii="Times New Roman" w:eastAsia="Times New Roman" w:hAnsi="Times New Roman" w:cs="Times New Roman"/>
          <w:color w:val="222222"/>
          <w:sz w:val="24"/>
          <w:szCs w:val="24"/>
        </w:rPr>
        <w:t xml:space="preserve"> 2021). </w:t>
      </w:r>
      <w:proofErr w:type="gramStart"/>
      <w:r>
        <w:rPr>
          <w:rFonts w:ascii="Times New Roman" w:eastAsia="Times New Roman" w:hAnsi="Times New Roman" w:cs="Times New Roman"/>
          <w:color w:val="222222"/>
          <w:sz w:val="24"/>
          <w:szCs w:val="24"/>
        </w:rPr>
        <w:t>Hence,  it</w:t>
      </w:r>
      <w:proofErr w:type="gramEnd"/>
      <w:r>
        <w:rPr>
          <w:rFonts w:ascii="Times New Roman" w:eastAsia="Times New Roman" w:hAnsi="Times New Roman" w:cs="Times New Roman"/>
          <w:color w:val="222222"/>
          <w:sz w:val="24"/>
          <w:szCs w:val="24"/>
        </w:rPr>
        <w:t xml:space="preserve"> can be a challenge to address all the mental health issues of each community member. The arrangement of mental health programs for the </w:t>
      </w:r>
      <w:proofErr w:type="gramStart"/>
      <w:r>
        <w:rPr>
          <w:rFonts w:ascii="Times New Roman" w:eastAsia="Times New Roman" w:hAnsi="Times New Roman" w:cs="Times New Roman"/>
          <w:color w:val="222222"/>
          <w:sz w:val="24"/>
          <w:szCs w:val="24"/>
        </w:rPr>
        <w:t>LGBTQ  community</w:t>
      </w:r>
      <w:proofErr w:type="gramEnd"/>
      <w:r>
        <w:rPr>
          <w:rFonts w:ascii="Times New Roman" w:eastAsia="Times New Roman" w:hAnsi="Times New Roman" w:cs="Times New Roman"/>
          <w:color w:val="222222"/>
          <w:sz w:val="24"/>
          <w:szCs w:val="24"/>
        </w:rPr>
        <w:t xml:space="preserve"> depends on several factors that can impact the members' mental health. Social stereotypes are also responsible for creating a psychological impact on the community members (Patel, 2019). </w:t>
      </w:r>
    </w:p>
    <w:p w14:paraId="71F437B1"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 the other hand, the lack of opportunities in society regarding education and employment has impacted mental wellbeing. The community members face critical challenges in social interaction, which also hampers their employment opportunities. Before arranging the mental health </w:t>
      </w:r>
      <w:proofErr w:type="gramStart"/>
      <w:r>
        <w:rPr>
          <w:rFonts w:ascii="Times New Roman" w:eastAsia="Times New Roman" w:hAnsi="Times New Roman" w:cs="Times New Roman"/>
          <w:color w:val="222222"/>
          <w:sz w:val="24"/>
          <w:szCs w:val="24"/>
        </w:rPr>
        <w:t>programs,  it</w:t>
      </w:r>
      <w:proofErr w:type="gramEnd"/>
      <w:r>
        <w:rPr>
          <w:rFonts w:ascii="Times New Roman" w:eastAsia="Times New Roman" w:hAnsi="Times New Roman" w:cs="Times New Roman"/>
          <w:color w:val="222222"/>
          <w:sz w:val="24"/>
          <w:szCs w:val="24"/>
        </w:rPr>
        <w:t xml:space="preserve"> is necessary to consider the economic factors,  social factors,  communication gap,  education opportunities,  employment opportunities, and behavioural traits of the members of the LGBTQ community (Freeman, 2020). It is important to monitor the educational and employment requirements of the members to help them gain confidence. Arranging mental health programs in public for the </w:t>
      </w:r>
      <w:proofErr w:type="gramStart"/>
      <w:r>
        <w:rPr>
          <w:rFonts w:ascii="Times New Roman" w:eastAsia="Times New Roman" w:hAnsi="Times New Roman" w:cs="Times New Roman"/>
          <w:color w:val="222222"/>
          <w:sz w:val="24"/>
          <w:szCs w:val="24"/>
        </w:rPr>
        <w:t>LGBTQ  community</w:t>
      </w:r>
      <w:proofErr w:type="gramEnd"/>
      <w:r>
        <w:rPr>
          <w:rFonts w:ascii="Times New Roman" w:eastAsia="Times New Roman" w:hAnsi="Times New Roman" w:cs="Times New Roman"/>
          <w:color w:val="222222"/>
          <w:sz w:val="24"/>
          <w:szCs w:val="24"/>
        </w:rPr>
        <w:t xml:space="preserve"> members can require the permission of the local authority (</w:t>
      </w:r>
      <w:proofErr w:type="spellStart"/>
      <w:r>
        <w:rPr>
          <w:rFonts w:ascii="Times New Roman" w:eastAsia="Times New Roman" w:hAnsi="Times New Roman" w:cs="Times New Roman"/>
          <w:color w:val="222222"/>
          <w:sz w:val="24"/>
          <w:szCs w:val="24"/>
        </w:rPr>
        <w:t>Kneale</w:t>
      </w:r>
      <w:proofErr w:type="spellEnd"/>
      <w:r>
        <w:rPr>
          <w:rFonts w:ascii="Times New Roman" w:eastAsia="Times New Roman" w:hAnsi="Times New Roman" w:cs="Times New Roman"/>
          <w:color w:val="222222"/>
          <w:sz w:val="24"/>
          <w:szCs w:val="24"/>
        </w:rPr>
        <w:t xml:space="preserve"> and </w:t>
      </w:r>
      <w:proofErr w:type="spellStart"/>
      <w:r>
        <w:rPr>
          <w:rFonts w:ascii="Times New Roman" w:eastAsia="Times New Roman" w:hAnsi="Times New Roman" w:cs="Times New Roman"/>
          <w:color w:val="222222"/>
          <w:sz w:val="24"/>
          <w:szCs w:val="24"/>
        </w:rPr>
        <w:t>Becares</w:t>
      </w:r>
      <w:proofErr w:type="spellEnd"/>
      <w:r>
        <w:rPr>
          <w:rFonts w:ascii="Times New Roman" w:eastAsia="Times New Roman" w:hAnsi="Times New Roman" w:cs="Times New Roman"/>
          <w:color w:val="222222"/>
          <w:sz w:val="24"/>
          <w:szCs w:val="24"/>
        </w:rPr>
        <w:t xml:space="preserve">, 2020). Hence, the intervention plan is dependent on various factors and can be regarded as a complex intervention. Following are the relevant contextual factors of the complex intervention </w:t>
      </w:r>
      <w:proofErr w:type="gramStart"/>
      <w:r>
        <w:rPr>
          <w:rFonts w:ascii="Times New Roman" w:eastAsia="Times New Roman" w:hAnsi="Times New Roman" w:cs="Times New Roman"/>
          <w:color w:val="222222"/>
          <w:sz w:val="24"/>
          <w:szCs w:val="24"/>
        </w:rPr>
        <w:t>plan :</w:t>
      </w:r>
      <w:proofErr w:type="gramEnd"/>
    </w:p>
    <w:p w14:paraId="41097FB4" w14:textId="77777777" w:rsidR="00FB67DE" w:rsidRDefault="00FB67DE">
      <w:pPr>
        <w:spacing w:line="360" w:lineRule="auto"/>
        <w:ind w:right="-466"/>
        <w:jc w:val="both"/>
        <w:rPr>
          <w:rFonts w:ascii="Times New Roman" w:eastAsia="Times New Roman" w:hAnsi="Times New Roman" w:cs="Times New Roman"/>
          <w:b/>
          <w:i/>
          <w:color w:val="222222"/>
          <w:sz w:val="24"/>
          <w:szCs w:val="24"/>
        </w:rPr>
      </w:pPr>
    </w:p>
    <w:p w14:paraId="247506B7" w14:textId="77777777" w:rsidR="00FB67DE" w:rsidRDefault="00FB67DE">
      <w:pPr>
        <w:spacing w:line="360" w:lineRule="auto"/>
        <w:ind w:right="-466"/>
        <w:jc w:val="both"/>
        <w:rPr>
          <w:rFonts w:ascii="Times New Roman" w:eastAsia="Times New Roman" w:hAnsi="Times New Roman" w:cs="Times New Roman"/>
          <w:b/>
          <w:i/>
          <w:color w:val="222222"/>
          <w:sz w:val="24"/>
          <w:szCs w:val="24"/>
        </w:rPr>
      </w:pPr>
    </w:p>
    <w:p w14:paraId="388F6AA8" w14:textId="77777777" w:rsidR="00FB67DE" w:rsidRDefault="00000000">
      <w:pPr>
        <w:spacing w:line="360" w:lineRule="auto"/>
        <w:ind w:right="-466"/>
        <w:jc w:val="both"/>
        <w:rPr>
          <w:rFonts w:ascii="Times New Roman" w:eastAsia="Times New Roman" w:hAnsi="Times New Roman" w:cs="Times New Roman"/>
          <w:b/>
          <w:i/>
          <w:color w:val="222222"/>
          <w:sz w:val="24"/>
          <w:szCs w:val="24"/>
        </w:rPr>
      </w:pPr>
      <w:r>
        <w:rPr>
          <w:rFonts w:ascii="Times New Roman" w:eastAsia="Times New Roman" w:hAnsi="Times New Roman" w:cs="Times New Roman"/>
          <w:b/>
          <w:i/>
          <w:color w:val="222222"/>
          <w:sz w:val="24"/>
          <w:szCs w:val="24"/>
        </w:rPr>
        <w:lastRenderedPageBreak/>
        <w:t xml:space="preserve">Economical factor </w:t>
      </w:r>
    </w:p>
    <w:p w14:paraId="70FB7024"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Economic factors can also play a great role in implementing complex interventions for ensuring mental sustainability for the </w:t>
      </w:r>
      <w:proofErr w:type="gramStart"/>
      <w:r>
        <w:rPr>
          <w:rFonts w:ascii="Times New Roman" w:eastAsia="Times New Roman" w:hAnsi="Times New Roman" w:cs="Times New Roman"/>
          <w:color w:val="222222"/>
          <w:sz w:val="24"/>
          <w:szCs w:val="24"/>
        </w:rPr>
        <w:t>LGBTQ  community</w:t>
      </w:r>
      <w:proofErr w:type="gramEnd"/>
      <w:r>
        <w:rPr>
          <w:rFonts w:ascii="Times New Roman" w:eastAsia="Times New Roman" w:hAnsi="Times New Roman" w:cs="Times New Roman"/>
          <w:color w:val="222222"/>
          <w:sz w:val="24"/>
          <w:szCs w:val="24"/>
        </w:rPr>
        <w:t xml:space="preserve"> members. It has been noticed that the annual income of </w:t>
      </w:r>
      <w:proofErr w:type="gramStart"/>
      <w:r>
        <w:rPr>
          <w:rFonts w:ascii="Times New Roman" w:eastAsia="Times New Roman" w:hAnsi="Times New Roman" w:cs="Times New Roman"/>
          <w:color w:val="222222"/>
          <w:sz w:val="24"/>
          <w:szCs w:val="24"/>
        </w:rPr>
        <w:t>the  LGBTQ</w:t>
      </w:r>
      <w:proofErr w:type="gramEnd"/>
      <w:r>
        <w:rPr>
          <w:rFonts w:ascii="Times New Roman" w:eastAsia="Times New Roman" w:hAnsi="Times New Roman" w:cs="Times New Roman"/>
          <w:color w:val="222222"/>
          <w:sz w:val="24"/>
          <w:szCs w:val="24"/>
        </w:rPr>
        <w:t xml:space="preserve">  community members is significantly low in the United Kingdom. It can also impact their purchasing power in the country. This can also be a barrier to implementing the complex intervention plan. </w:t>
      </w:r>
    </w:p>
    <w:p w14:paraId="790A0F5C" w14:textId="77777777" w:rsidR="00FB67DE" w:rsidRDefault="00000000">
      <w:pPr>
        <w:spacing w:line="360" w:lineRule="auto"/>
        <w:ind w:right="-466"/>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114300" distB="114300" distL="114300" distR="114300" wp14:anchorId="48E91C0A" wp14:editId="31E58373">
            <wp:extent cx="6004732" cy="2538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004732" cy="2538413"/>
                    </a:xfrm>
                    <a:prstGeom prst="rect">
                      <a:avLst/>
                    </a:prstGeom>
                    <a:ln/>
                  </pic:spPr>
                </pic:pic>
              </a:graphicData>
            </a:graphic>
          </wp:inline>
        </w:drawing>
      </w:r>
    </w:p>
    <w:p w14:paraId="11FC270C" w14:textId="77777777" w:rsidR="00FB67DE" w:rsidRDefault="00000000">
      <w:pPr>
        <w:spacing w:line="360" w:lineRule="auto"/>
        <w:ind w:right="-466"/>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Figure 1: The purchasing power of </w:t>
      </w:r>
      <w:proofErr w:type="gramStart"/>
      <w:r>
        <w:rPr>
          <w:rFonts w:ascii="Times New Roman" w:eastAsia="Times New Roman" w:hAnsi="Times New Roman" w:cs="Times New Roman"/>
          <w:color w:val="222222"/>
          <w:sz w:val="24"/>
          <w:szCs w:val="24"/>
        </w:rPr>
        <w:t>LGBT  in</w:t>
      </w:r>
      <w:proofErr w:type="gramEnd"/>
      <w:r>
        <w:rPr>
          <w:rFonts w:ascii="Times New Roman" w:eastAsia="Times New Roman" w:hAnsi="Times New Roman" w:cs="Times New Roman"/>
          <w:color w:val="222222"/>
          <w:sz w:val="24"/>
          <w:szCs w:val="24"/>
        </w:rPr>
        <w:t xml:space="preserve"> a few countries in 2015</w:t>
      </w:r>
    </w:p>
    <w:p w14:paraId="1172BD1F" w14:textId="77777777" w:rsidR="00FB67DE" w:rsidRDefault="00000000">
      <w:pPr>
        <w:spacing w:line="360" w:lineRule="auto"/>
        <w:ind w:right="-466"/>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(Source: Statista Research Department, 2022)</w:t>
      </w:r>
    </w:p>
    <w:p w14:paraId="79CE05DB"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net disposable personal income of </w:t>
      </w:r>
      <w:proofErr w:type="gramStart"/>
      <w:r>
        <w:rPr>
          <w:rFonts w:ascii="Times New Roman" w:eastAsia="Times New Roman" w:hAnsi="Times New Roman" w:cs="Times New Roman"/>
          <w:color w:val="222222"/>
          <w:sz w:val="24"/>
          <w:szCs w:val="24"/>
        </w:rPr>
        <w:t>LGBT  community</w:t>
      </w:r>
      <w:proofErr w:type="gramEnd"/>
      <w:r>
        <w:rPr>
          <w:rFonts w:ascii="Times New Roman" w:eastAsia="Times New Roman" w:hAnsi="Times New Roman" w:cs="Times New Roman"/>
          <w:color w:val="222222"/>
          <w:sz w:val="24"/>
          <w:szCs w:val="24"/>
        </w:rPr>
        <w:t xml:space="preserve"> members in the United Kingdom was 150 billion US dollars, which is significantly less than Germany, China, and the USA (Statista Research Department, 2022). This highlights the lack of employment opportunities for the community members, and this also impacts their purchasing power in the country. Hence it is very important to arrange a mental health program for </w:t>
      </w:r>
      <w:proofErr w:type="gramStart"/>
      <w:r>
        <w:rPr>
          <w:rFonts w:ascii="Times New Roman" w:eastAsia="Times New Roman" w:hAnsi="Times New Roman" w:cs="Times New Roman"/>
          <w:color w:val="222222"/>
          <w:sz w:val="24"/>
          <w:szCs w:val="24"/>
        </w:rPr>
        <w:t>the  LGBTQ</w:t>
      </w:r>
      <w:proofErr w:type="gramEnd"/>
      <w:r>
        <w:rPr>
          <w:rFonts w:ascii="Times New Roman" w:eastAsia="Times New Roman" w:hAnsi="Times New Roman" w:cs="Times New Roman"/>
          <w:color w:val="222222"/>
          <w:sz w:val="24"/>
          <w:szCs w:val="24"/>
        </w:rPr>
        <w:t xml:space="preserve">   community members through education and employment. It can help them to improve their employability in the United Kingdom and improve their mental sustainability. </w:t>
      </w:r>
    </w:p>
    <w:p w14:paraId="6FC39A37" w14:textId="77777777" w:rsidR="00FB67DE" w:rsidRDefault="00000000">
      <w:pPr>
        <w:spacing w:line="360" w:lineRule="auto"/>
        <w:ind w:right="-466"/>
        <w:jc w:val="both"/>
        <w:rPr>
          <w:rFonts w:ascii="Times New Roman" w:eastAsia="Times New Roman" w:hAnsi="Times New Roman" w:cs="Times New Roman"/>
          <w:b/>
          <w:i/>
          <w:color w:val="222222"/>
          <w:sz w:val="24"/>
          <w:szCs w:val="24"/>
        </w:rPr>
      </w:pPr>
      <w:r>
        <w:rPr>
          <w:rFonts w:ascii="Times New Roman" w:eastAsia="Times New Roman" w:hAnsi="Times New Roman" w:cs="Times New Roman"/>
          <w:b/>
          <w:i/>
          <w:color w:val="222222"/>
          <w:sz w:val="24"/>
          <w:szCs w:val="24"/>
        </w:rPr>
        <w:t xml:space="preserve">Social factors </w:t>
      </w:r>
    </w:p>
    <w:p w14:paraId="3E003355"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w:t>
      </w:r>
      <w:proofErr w:type="gramStart"/>
      <w:r>
        <w:rPr>
          <w:rFonts w:ascii="Times New Roman" w:eastAsia="Times New Roman" w:hAnsi="Times New Roman" w:cs="Times New Roman"/>
          <w:color w:val="222222"/>
          <w:sz w:val="24"/>
          <w:szCs w:val="24"/>
        </w:rPr>
        <w:t>society,  the</w:t>
      </w:r>
      <w:proofErr w:type="gramEnd"/>
      <w:r>
        <w:rPr>
          <w:rFonts w:ascii="Times New Roman" w:eastAsia="Times New Roman" w:hAnsi="Times New Roman" w:cs="Times New Roman"/>
          <w:color w:val="222222"/>
          <w:sz w:val="24"/>
          <w:szCs w:val="24"/>
        </w:rPr>
        <w:t xml:space="preserve"> LGBTQ  community members can hardly develop in interaction with society due to different social factors (Huang, 2021). Inequality and gender discrimination can be the main reason for separating the LGBTQ community members from mainstream society, and for this reason, they feel left behind. This condition also raises depression and anxiety for the group members of the </w:t>
      </w:r>
      <w:proofErr w:type="gramStart"/>
      <w:r>
        <w:rPr>
          <w:rFonts w:ascii="Times New Roman" w:eastAsia="Times New Roman" w:hAnsi="Times New Roman" w:cs="Times New Roman"/>
          <w:color w:val="222222"/>
          <w:sz w:val="24"/>
          <w:szCs w:val="24"/>
        </w:rPr>
        <w:t>LGBTQ  community</w:t>
      </w:r>
      <w:proofErr w:type="gramEnd"/>
      <w:r>
        <w:rPr>
          <w:rFonts w:ascii="Times New Roman" w:eastAsia="Times New Roman" w:hAnsi="Times New Roman" w:cs="Times New Roman"/>
          <w:color w:val="222222"/>
          <w:sz w:val="24"/>
          <w:szCs w:val="24"/>
        </w:rPr>
        <w:t xml:space="preserve">. In many </w:t>
      </w:r>
      <w:proofErr w:type="gramStart"/>
      <w:r>
        <w:rPr>
          <w:rFonts w:ascii="Times New Roman" w:eastAsia="Times New Roman" w:hAnsi="Times New Roman" w:cs="Times New Roman"/>
          <w:color w:val="222222"/>
          <w:sz w:val="24"/>
          <w:szCs w:val="24"/>
        </w:rPr>
        <w:t>cases,  they</w:t>
      </w:r>
      <w:proofErr w:type="gramEnd"/>
      <w:r>
        <w:rPr>
          <w:rFonts w:ascii="Times New Roman" w:eastAsia="Times New Roman" w:hAnsi="Times New Roman" w:cs="Times New Roman"/>
          <w:color w:val="222222"/>
          <w:sz w:val="24"/>
          <w:szCs w:val="24"/>
        </w:rPr>
        <w:t xml:space="preserve"> can hardly receive common treatment and behaviour from society. They also face several problems in travelling (George, 2021). This also impacts their participation in different activities in society, leading to a lack of opportunities. Hence, the complex integration framework can provide them with an opportunity to improve their interaction in society. </w:t>
      </w:r>
    </w:p>
    <w:p w14:paraId="28BE0764" w14:textId="77777777" w:rsidR="00FB67DE" w:rsidRDefault="00000000">
      <w:pPr>
        <w:spacing w:line="360" w:lineRule="auto"/>
        <w:ind w:right="-466"/>
        <w:jc w:val="both"/>
        <w:rPr>
          <w:rFonts w:ascii="Times New Roman" w:eastAsia="Times New Roman" w:hAnsi="Times New Roman" w:cs="Times New Roman"/>
          <w:b/>
          <w:i/>
          <w:color w:val="222222"/>
          <w:sz w:val="24"/>
          <w:szCs w:val="24"/>
        </w:rPr>
      </w:pPr>
      <w:r>
        <w:rPr>
          <w:rFonts w:ascii="Times New Roman" w:eastAsia="Times New Roman" w:hAnsi="Times New Roman" w:cs="Times New Roman"/>
          <w:b/>
          <w:i/>
          <w:color w:val="222222"/>
          <w:sz w:val="24"/>
          <w:szCs w:val="24"/>
        </w:rPr>
        <w:lastRenderedPageBreak/>
        <w:t xml:space="preserve">Communication gap </w:t>
      </w:r>
    </w:p>
    <w:p w14:paraId="1D2E540F"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Due to the lack of importance and attention in mainstream </w:t>
      </w:r>
      <w:proofErr w:type="gramStart"/>
      <w:r>
        <w:rPr>
          <w:rFonts w:ascii="Times New Roman" w:eastAsia="Times New Roman" w:hAnsi="Times New Roman" w:cs="Times New Roman"/>
          <w:color w:val="222222"/>
          <w:sz w:val="24"/>
          <w:szCs w:val="24"/>
        </w:rPr>
        <w:t>society,  the</w:t>
      </w:r>
      <w:proofErr w:type="gramEnd"/>
      <w:r>
        <w:rPr>
          <w:rFonts w:ascii="Times New Roman" w:eastAsia="Times New Roman" w:hAnsi="Times New Roman" w:cs="Times New Roman"/>
          <w:color w:val="222222"/>
          <w:sz w:val="24"/>
          <w:szCs w:val="24"/>
        </w:rPr>
        <w:t xml:space="preserve"> members of the LGBTQ  community have been facing a communication gap with society (</w:t>
      </w:r>
      <w:proofErr w:type="spellStart"/>
      <w:r>
        <w:rPr>
          <w:rFonts w:ascii="Times New Roman" w:eastAsia="Times New Roman" w:hAnsi="Times New Roman" w:cs="Times New Roman"/>
          <w:color w:val="222222"/>
          <w:sz w:val="24"/>
          <w:szCs w:val="24"/>
        </w:rPr>
        <w:t>Rubinsky</w:t>
      </w:r>
      <w:proofErr w:type="spellEnd"/>
      <w:r>
        <w:rPr>
          <w:rFonts w:ascii="Times New Roman" w:eastAsia="Times New Roman" w:hAnsi="Times New Roman" w:cs="Times New Roman"/>
          <w:color w:val="222222"/>
          <w:sz w:val="24"/>
          <w:szCs w:val="24"/>
        </w:rPr>
        <w:t xml:space="preserve"> and </w:t>
      </w:r>
      <w:proofErr w:type="spellStart"/>
      <w:r>
        <w:rPr>
          <w:rFonts w:ascii="Times New Roman" w:eastAsia="Times New Roman" w:hAnsi="Times New Roman" w:cs="Times New Roman"/>
          <w:color w:val="222222"/>
          <w:sz w:val="24"/>
          <w:szCs w:val="24"/>
        </w:rPr>
        <w:t>Hosek</w:t>
      </w:r>
      <w:proofErr w:type="spellEnd"/>
      <w:r>
        <w:rPr>
          <w:rFonts w:ascii="Times New Roman" w:eastAsia="Times New Roman" w:hAnsi="Times New Roman" w:cs="Times New Roman"/>
          <w:color w:val="222222"/>
          <w:sz w:val="24"/>
          <w:szCs w:val="24"/>
        </w:rPr>
        <w:t xml:space="preserve">, 2020). The complex intervention framework focuses on providing better opportunities to the community members to develop better communication with society and express their problems and solutions (Abdullayev, 2020). It also allows enthusiastic people and volunteers to provide psychological support to the members. This can help restore the confidence and potential of the </w:t>
      </w:r>
      <w:proofErr w:type="gramStart"/>
      <w:r>
        <w:rPr>
          <w:rFonts w:ascii="Times New Roman" w:eastAsia="Times New Roman" w:hAnsi="Times New Roman" w:cs="Times New Roman"/>
          <w:color w:val="222222"/>
          <w:sz w:val="24"/>
          <w:szCs w:val="24"/>
        </w:rPr>
        <w:t>LGBTQ  community</w:t>
      </w:r>
      <w:proofErr w:type="gramEnd"/>
      <w:r>
        <w:rPr>
          <w:rFonts w:ascii="Times New Roman" w:eastAsia="Times New Roman" w:hAnsi="Times New Roman" w:cs="Times New Roman"/>
          <w:color w:val="222222"/>
          <w:sz w:val="24"/>
          <w:szCs w:val="24"/>
        </w:rPr>
        <w:t xml:space="preserve"> members. It can also help them to feel free about approaching an Employment opportunity in different organisations and companies in the UK.</w:t>
      </w:r>
    </w:p>
    <w:p w14:paraId="155B76EE" w14:textId="77777777" w:rsidR="00FB67DE" w:rsidRDefault="00000000">
      <w:pPr>
        <w:spacing w:line="360" w:lineRule="auto"/>
        <w:ind w:right="-466"/>
        <w:jc w:val="both"/>
        <w:rPr>
          <w:rFonts w:ascii="Times New Roman" w:eastAsia="Times New Roman" w:hAnsi="Times New Roman" w:cs="Times New Roman"/>
          <w:b/>
          <w:i/>
          <w:color w:val="222222"/>
          <w:sz w:val="24"/>
          <w:szCs w:val="24"/>
        </w:rPr>
      </w:pPr>
      <w:r>
        <w:rPr>
          <w:rFonts w:ascii="Times New Roman" w:eastAsia="Times New Roman" w:hAnsi="Times New Roman" w:cs="Times New Roman"/>
          <w:b/>
          <w:i/>
          <w:color w:val="222222"/>
          <w:sz w:val="24"/>
          <w:szCs w:val="24"/>
        </w:rPr>
        <w:t xml:space="preserve">Education and employment opportunities </w:t>
      </w:r>
    </w:p>
    <w:p w14:paraId="70EE33C4"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Education and employment opportunities can help LGBTQ community members to improve their knowledge and skills (</w:t>
      </w:r>
      <w:proofErr w:type="spellStart"/>
      <w:r>
        <w:rPr>
          <w:rFonts w:ascii="Times New Roman" w:eastAsia="Times New Roman" w:hAnsi="Times New Roman" w:cs="Times New Roman"/>
          <w:color w:val="222222"/>
          <w:sz w:val="24"/>
          <w:szCs w:val="24"/>
        </w:rPr>
        <w:t>Nowaskie</w:t>
      </w:r>
      <w:proofErr w:type="spellEnd"/>
      <w:r>
        <w:rPr>
          <w:rFonts w:ascii="Times New Roman" w:eastAsia="Times New Roman" w:hAnsi="Times New Roman" w:cs="Times New Roman"/>
          <w:color w:val="222222"/>
          <w:sz w:val="24"/>
          <w:szCs w:val="24"/>
        </w:rPr>
        <w:t xml:space="preserve"> and </w:t>
      </w:r>
      <w:proofErr w:type="spellStart"/>
      <w:r>
        <w:rPr>
          <w:rFonts w:ascii="Times New Roman" w:eastAsia="Times New Roman" w:hAnsi="Times New Roman" w:cs="Times New Roman"/>
          <w:color w:val="222222"/>
          <w:sz w:val="24"/>
          <w:szCs w:val="24"/>
        </w:rPr>
        <w:t>Sowinski</w:t>
      </w:r>
      <w:proofErr w:type="spellEnd"/>
      <w:r>
        <w:rPr>
          <w:rFonts w:ascii="Times New Roman" w:eastAsia="Times New Roman" w:hAnsi="Times New Roman" w:cs="Times New Roman"/>
          <w:color w:val="222222"/>
          <w:sz w:val="24"/>
          <w:szCs w:val="24"/>
        </w:rPr>
        <w:t xml:space="preserve">, 2018). It can allow them to develop their employability in the United Kingdom. It also improves the purchasing power parity that can allow them to contribute to the economy of the country. An inclusive education policy can help </w:t>
      </w:r>
      <w:proofErr w:type="gramStart"/>
      <w:r>
        <w:rPr>
          <w:rFonts w:ascii="Times New Roman" w:eastAsia="Times New Roman" w:hAnsi="Times New Roman" w:cs="Times New Roman"/>
          <w:color w:val="222222"/>
          <w:sz w:val="24"/>
          <w:szCs w:val="24"/>
        </w:rPr>
        <w:t>LGBTQ  community</w:t>
      </w:r>
      <w:proofErr w:type="gramEnd"/>
      <w:r>
        <w:rPr>
          <w:rFonts w:ascii="Times New Roman" w:eastAsia="Times New Roman" w:hAnsi="Times New Roman" w:cs="Times New Roman"/>
          <w:color w:val="222222"/>
          <w:sz w:val="24"/>
          <w:szCs w:val="24"/>
        </w:rPr>
        <w:t xml:space="preserve"> members to attain the common classroom (</w:t>
      </w:r>
      <w:proofErr w:type="spellStart"/>
      <w:r>
        <w:rPr>
          <w:rFonts w:ascii="Times New Roman" w:eastAsia="Times New Roman" w:hAnsi="Times New Roman" w:cs="Times New Roman"/>
          <w:color w:val="222222"/>
          <w:sz w:val="24"/>
          <w:szCs w:val="24"/>
        </w:rPr>
        <w:t>Carlile</w:t>
      </w:r>
      <w:proofErr w:type="spellEnd"/>
      <w:r>
        <w:rPr>
          <w:rFonts w:ascii="Times New Roman" w:eastAsia="Times New Roman" w:hAnsi="Times New Roman" w:cs="Times New Roman"/>
          <w:color w:val="222222"/>
          <w:sz w:val="24"/>
          <w:szCs w:val="24"/>
        </w:rPr>
        <w:t xml:space="preserve">, 2020). It can contribute to mental wellbeing and satisfaction. Through the complex intervention </w:t>
      </w:r>
      <w:proofErr w:type="gramStart"/>
      <w:r>
        <w:rPr>
          <w:rFonts w:ascii="Times New Roman" w:eastAsia="Times New Roman" w:hAnsi="Times New Roman" w:cs="Times New Roman"/>
          <w:color w:val="222222"/>
          <w:sz w:val="24"/>
          <w:szCs w:val="24"/>
        </w:rPr>
        <w:t>framework,  the</w:t>
      </w:r>
      <w:proofErr w:type="gramEnd"/>
      <w:r>
        <w:rPr>
          <w:rFonts w:ascii="Times New Roman" w:eastAsia="Times New Roman" w:hAnsi="Times New Roman" w:cs="Times New Roman"/>
          <w:color w:val="222222"/>
          <w:sz w:val="24"/>
          <w:szCs w:val="24"/>
        </w:rPr>
        <w:t xml:space="preserve"> members of the LGBTQ community must be provided with an opportunity for education and employment in society for that improvement.</w:t>
      </w:r>
    </w:p>
    <w:p w14:paraId="7D44E5F4" w14:textId="77777777" w:rsidR="00FB67DE" w:rsidRDefault="00FB67DE">
      <w:pPr>
        <w:spacing w:line="360" w:lineRule="auto"/>
        <w:ind w:right="-466"/>
        <w:jc w:val="both"/>
        <w:rPr>
          <w:rFonts w:ascii="Times New Roman" w:eastAsia="Times New Roman" w:hAnsi="Times New Roman" w:cs="Times New Roman"/>
          <w:color w:val="222222"/>
          <w:sz w:val="24"/>
          <w:szCs w:val="24"/>
        </w:rPr>
      </w:pPr>
    </w:p>
    <w:p w14:paraId="5736B64E" w14:textId="77777777" w:rsidR="00FB67DE" w:rsidRDefault="00000000">
      <w:pPr>
        <w:spacing w:line="360" w:lineRule="auto"/>
        <w:ind w:right="-466"/>
        <w:jc w:val="both"/>
        <w:rPr>
          <w:rFonts w:ascii="Times New Roman" w:eastAsia="Times New Roman" w:hAnsi="Times New Roman" w:cs="Times New Roman"/>
          <w:b/>
          <w:i/>
          <w:color w:val="222222"/>
          <w:sz w:val="24"/>
          <w:szCs w:val="24"/>
        </w:rPr>
      </w:pPr>
      <w:r>
        <w:rPr>
          <w:rFonts w:ascii="Times New Roman" w:eastAsia="Times New Roman" w:hAnsi="Times New Roman" w:cs="Times New Roman"/>
          <w:b/>
          <w:i/>
          <w:color w:val="222222"/>
          <w:sz w:val="24"/>
          <w:szCs w:val="24"/>
        </w:rPr>
        <w:t xml:space="preserve">Behavioural traits </w:t>
      </w:r>
    </w:p>
    <w:p w14:paraId="68FCA121"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members of the </w:t>
      </w:r>
      <w:proofErr w:type="gramStart"/>
      <w:r>
        <w:rPr>
          <w:rFonts w:ascii="Times New Roman" w:eastAsia="Times New Roman" w:hAnsi="Times New Roman" w:cs="Times New Roman"/>
          <w:color w:val="222222"/>
          <w:sz w:val="24"/>
          <w:szCs w:val="24"/>
        </w:rPr>
        <w:t>LGBTQ  community</w:t>
      </w:r>
      <w:proofErr w:type="gramEnd"/>
      <w:r>
        <w:rPr>
          <w:rFonts w:ascii="Times New Roman" w:eastAsia="Times New Roman" w:hAnsi="Times New Roman" w:cs="Times New Roman"/>
          <w:color w:val="222222"/>
          <w:sz w:val="24"/>
          <w:szCs w:val="24"/>
        </w:rPr>
        <w:t xml:space="preserve"> often feel uncomfortable interacting with other people in society. These behaviour traits have been impacting their performance and engagement in society and different activities. Some members of the transgender group behave inappropriately in society, that can impact their communication (Bellhouse </w:t>
      </w:r>
      <w:r>
        <w:rPr>
          <w:rFonts w:ascii="Times New Roman" w:eastAsia="Times New Roman" w:hAnsi="Times New Roman" w:cs="Times New Roman"/>
          <w:i/>
          <w:color w:val="222222"/>
          <w:sz w:val="24"/>
          <w:szCs w:val="24"/>
        </w:rPr>
        <w:t xml:space="preserve">et al. </w:t>
      </w:r>
      <w:r>
        <w:rPr>
          <w:rFonts w:ascii="Times New Roman" w:eastAsia="Times New Roman" w:hAnsi="Times New Roman" w:cs="Times New Roman"/>
          <w:color w:val="222222"/>
          <w:sz w:val="24"/>
          <w:szCs w:val="24"/>
        </w:rPr>
        <w:t xml:space="preserve">2018). </w:t>
      </w:r>
      <w:proofErr w:type="gramStart"/>
      <w:r>
        <w:rPr>
          <w:rFonts w:ascii="Times New Roman" w:eastAsia="Times New Roman" w:hAnsi="Times New Roman" w:cs="Times New Roman"/>
          <w:color w:val="222222"/>
          <w:sz w:val="24"/>
          <w:szCs w:val="24"/>
        </w:rPr>
        <w:t>Hence,  it</w:t>
      </w:r>
      <w:proofErr w:type="gramEnd"/>
      <w:r>
        <w:rPr>
          <w:rFonts w:ascii="Times New Roman" w:eastAsia="Times New Roman" w:hAnsi="Times New Roman" w:cs="Times New Roman"/>
          <w:color w:val="222222"/>
          <w:sz w:val="24"/>
          <w:szCs w:val="24"/>
        </w:rPr>
        <w:t xml:space="preserve"> is very important to provide them with education facilities so that they can understand the behavioural aspects.</w:t>
      </w:r>
    </w:p>
    <w:p w14:paraId="3EBE642D" w14:textId="77777777" w:rsidR="00FB67DE" w:rsidRDefault="00000000">
      <w:pPr>
        <w:spacing w:line="360" w:lineRule="auto"/>
        <w:ind w:right="-466"/>
        <w:jc w:val="both"/>
        <w:rPr>
          <w:rFonts w:ascii="Times New Roman" w:eastAsia="Times New Roman" w:hAnsi="Times New Roman" w:cs="Times New Roman"/>
          <w:b/>
          <w:i/>
          <w:color w:val="222222"/>
          <w:sz w:val="24"/>
          <w:szCs w:val="24"/>
        </w:rPr>
      </w:pPr>
      <w:r>
        <w:rPr>
          <w:rFonts w:ascii="Times New Roman" w:eastAsia="Times New Roman" w:hAnsi="Times New Roman" w:cs="Times New Roman"/>
          <w:b/>
          <w:i/>
          <w:color w:val="222222"/>
          <w:sz w:val="24"/>
          <w:szCs w:val="24"/>
        </w:rPr>
        <w:t xml:space="preserve">Strength and weakness of complex intervention </w:t>
      </w:r>
    </w:p>
    <w:p w14:paraId="2915EF7C" w14:textId="77777777" w:rsidR="00FB67DE" w:rsidRDefault="00000000">
      <w:pPr>
        <w:spacing w:line="360" w:lineRule="auto"/>
        <w:ind w:right="-46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main strength of the chosen complex intervention program is that it focuses on providing education and employment to the members of the LGBTQ community, and it can help them to improve their confidence and skills so that they can improve their employability in society (</w:t>
      </w:r>
      <w:proofErr w:type="spellStart"/>
      <w:r>
        <w:rPr>
          <w:rFonts w:ascii="Times New Roman" w:eastAsia="Times New Roman" w:hAnsi="Times New Roman" w:cs="Times New Roman"/>
          <w:color w:val="222222"/>
          <w:sz w:val="24"/>
          <w:szCs w:val="24"/>
        </w:rPr>
        <w:t>Huchting</w:t>
      </w:r>
      <w:proofErr w:type="spellEnd"/>
      <w:r>
        <w:rPr>
          <w:rFonts w:ascii="Times New Roman" w:eastAsia="Times New Roman" w:hAnsi="Times New Roman" w:cs="Times New Roman"/>
          <w:color w:val="222222"/>
          <w:sz w:val="24"/>
          <w:szCs w:val="24"/>
        </w:rPr>
        <w:t xml:space="preserve"> and Fisher, 2019). On the other hand, several factors must be considered, such as social </w:t>
      </w:r>
      <w:proofErr w:type="gramStart"/>
      <w:r>
        <w:rPr>
          <w:rFonts w:ascii="Times New Roman" w:eastAsia="Times New Roman" w:hAnsi="Times New Roman" w:cs="Times New Roman"/>
          <w:color w:val="222222"/>
          <w:sz w:val="24"/>
          <w:szCs w:val="24"/>
        </w:rPr>
        <w:t>factors,  economic</w:t>
      </w:r>
      <w:proofErr w:type="gramEnd"/>
      <w:r>
        <w:rPr>
          <w:rFonts w:ascii="Times New Roman" w:eastAsia="Times New Roman" w:hAnsi="Times New Roman" w:cs="Times New Roman"/>
          <w:color w:val="222222"/>
          <w:sz w:val="24"/>
          <w:szCs w:val="24"/>
        </w:rPr>
        <w:t xml:space="preserve"> factors,  communication gaps, and behaviour. </w:t>
      </w:r>
      <w:proofErr w:type="gramStart"/>
      <w:r>
        <w:rPr>
          <w:rFonts w:ascii="Times New Roman" w:eastAsia="Times New Roman" w:hAnsi="Times New Roman" w:cs="Times New Roman"/>
          <w:color w:val="222222"/>
          <w:sz w:val="24"/>
          <w:szCs w:val="24"/>
        </w:rPr>
        <w:t>Moreover,  permission</w:t>
      </w:r>
      <w:proofErr w:type="gramEnd"/>
      <w:r>
        <w:rPr>
          <w:rFonts w:ascii="Times New Roman" w:eastAsia="Times New Roman" w:hAnsi="Times New Roman" w:cs="Times New Roman"/>
          <w:color w:val="222222"/>
          <w:sz w:val="24"/>
          <w:szCs w:val="24"/>
        </w:rPr>
        <w:t xml:space="preserve"> from the authority is needed for arranging the mental health program. This can be the weakness factor.</w:t>
      </w:r>
    </w:p>
    <w:p w14:paraId="4991396B" w14:textId="77777777" w:rsidR="00FB67DE" w:rsidRDefault="00000000">
      <w:pPr>
        <w:keepNext/>
        <w:keepLines/>
        <w:pBdr>
          <w:top w:val="nil"/>
          <w:left w:val="nil"/>
          <w:bottom w:val="nil"/>
          <w:right w:val="nil"/>
          <w:between w:val="nil"/>
        </w:pBdr>
        <w:spacing w:before="400" w:after="120"/>
        <w:rPr>
          <w:rFonts w:ascii="Times New Roman" w:eastAsia="Times New Roman" w:hAnsi="Times New Roman" w:cs="Times New Roman"/>
          <w:b/>
          <w:color w:val="000000"/>
          <w:sz w:val="28"/>
          <w:szCs w:val="28"/>
        </w:rPr>
      </w:pPr>
      <w:bookmarkStart w:id="3" w:name="_3znysh7" w:colFirst="0" w:colLast="0"/>
      <w:bookmarkEnd w:id="3"/>
      <w:r>
        <w:rPr>
          <w:rFonts w:ascii="Times New Roman" w:eastAsia="Times New Roman" w:hAnsi="Times New Roman" w:cs="Times New Roman"/>
          <w:b/>
          <w:color w:val="000000"/>
          <w:sz w:val="28"/>
          <w:szCs w:val="28"/>
        </w:rPr>
        <w:lastRenderedPageBreak/>
        <w:t>Evaluation plan</w:t>
      </w:r>
    </w:p>
    <w:p w14:paraId="6354A1C0"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An evaluation plan for a complex intervention program depends on several factors that are responsible for the development of the research (Lambert </w:t>
      </w:r>
      <w:r>
        <w:rPr>
          <w:rFonts w:ascii="Times New Roman" w:eastAsia="Times New Roman" w:hAnsi="Times New Roman" w:cs="Times New Roman"/>
          <w:i/>
          <w:color w:val="222222"/>
          <w:sz w:val="24"/>
          <w:szCs w:val="24"/>
        </w:rPr>
        <w:t>et al.</w:t>
      </w:r>
      <w:r>
        <w:rPr>
          <w:rFonts w:ascii="Times New Roman" w:eastAsia="Times New Roman" w:hAnsi="Times New Roman" w:cs="Times New Roman"/>
          <w:color w:val="222222"/>
          <w:sz w:val="24"/>
          <w:szCs w:val="24"/>
        </w:rPr>
        <w:t xml:space="preserve"> 2019). It focuses on reset </w:t>
      </w:r>
      <w:proofErr w:type="gramStart"/>
      <w:r>
        <w:rPr>
          <w:rFonts w:ascii="Times New Roman" w:eastAsia="Times New Roman" w:hAnsi="Times New Roman" w:cs="Times New Roman"/>
          <w:color w:val="222222"/>
          <w:sz w:val="24"/>
          <w:szCs w:val="24"/>
        </w:rPr>
        <w:t>perspective,  Research</w:t>
      </w:r>
      <w:proofErr w:type="gramEnd"/>
      <w:r>
        <w:rPr>
          <w:rFonts w:ascii="Times New Roman" w:eastAsia="Times New Roman" w:hAnsi="Times New Roman" w:cs="Times New Roman"/>
          <w:color w:val="222222"/>
          <w:sz w:val="24"/>
          <w:szCs w:val="24"/>
        </w:rPr>
        <w:t xml:space="preserve"> design,  range of factors for measurement,  cost-effectiveness and the importance of relevant stakeholders and their contribution to the complex intervention project. It can help to monitor the growth of the complete intervention plan and its execution. This Complex intervention plan aims to provide mental health programs for the members of the LGBTQ community through employment and education in the United Kingdom. Different social factors and demographic factors are also responsible for impacting the complete intervention plan for the LGBTQ community. Following are the factors that are required for developing a complex intervention </w:t>
      </w:r>
      <w:proofErr w:type="gramStart"/>
      <w:r>
        <w:rPr>
          <w:rFonts w:ascii="Times New Roman" w:eastAsia="Times New Roman" w:hAnsi="Times New Roman" w:cs="Times New Roman"/>
          <w:color w:val="222222"/>
          <w:sz w:val="24"/>
          <w:szCs w:val="24"/>
        </w:rPr>
        <w:t>plan :</w:t>
      </w:r>
      <w:proofErr w:type="gramEnd"/>
      <w:r>
        <w:rPr>
          <w:rFonts w:ascii="Times New Roman" w:eastAsia="Times New Roman" w:hAnsi="Times New Roman" w:cs="Times New Roman"/>
          <w:color w:val="222222"/>
          <w:sz w:val="24"/>
          <w:szCs w:val="24"/>
        </w:rPr>
        <w:t xml:space="preserve"> </w:t>
      </w:r>
    </w:p>
    <w:p w14:paraId="40CE2176"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222222"/>
          <w:sz w:val="24"/>
          <w:szCs w:val="24"/>
        </w:rPr>
        <w:t xml:space="preserve">Research </w:t>
      </w:r>
      <w:proofErr w:type="gramStart"/>
      <w:r>
        <w:rPr>
          <w:rFonts w:ascii="Times New Roman" w:eastAsia="Times New Roman" w:hAnsi="Times New Roman" w:cs="Times New Roman"/>
          <w:b/>
          <w:i/>
          <w:color w:val="222222"/>
          <w:sz w:val="24"/>
          <w:szCs w:val="24"/>
        </w:rPr>
        <w:t>perspective :</w:t>
      </w:r>
      <w:proofErr w:type="gramEnd"/>
    </w:p>
    <w:p w14:paraId="3EE6761F"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Ensure the </w:t>
      </w:r>
      <w:r>
        <w:rPr>
          <w:rFonts w:ascii="Times New Roman" w:eastAsia="Times New Roman" w:hAnsi="Times New Roman" w:cs="Times New Roman"/>
          <w:b/>
          <w:i/>
          <w:color w:val="222222"/>
          <w:sz w:val="24"/>
          <w:szCs w:val="24"/>
        </w:rPr>
        <w:t>effectiveness</w:t>
      </w:r>
      <w:r>
        <w:rPr>
          <w:rFonts w:ascii="Times New Roman" w:eastAsia="Times New Roman" w:hAnsi="Times New Roman" w:cs="Times New Roman"/>
          <w:color w:val="222222"/>
          <w:sz w:val="24"/>
          <w:szCs w:val="24"/>
        </w:rPr>
        <w:t xml:space="preserve"> of the complex intervention plan is the research perspective for improving the mental health problems of the LGBTQ community (Kohler </w:t>
      </w:r>
      <w:r>
        <w:rPr>
          <w:rFonts w:ascii="Times New Roman" w:eastAsia="Times New Roman" w:hAnsi="Times New Roman" w:cs="Times New Roman"/>
          <w:i/>
          <w:color w:val="222222"/>
          <w:sz w:val="24"/>
          <w:szCs w:val="24"/>
        </w:rPr>
        <w:t>et al.</w:t>
      </w:r>
      <w:r>
        <w:rPr>
          <w:rFonts w:ascii="Times New Roman" w:eastAsia="Times New Roman" w:hAnsi="Times New Roman" w:cs="Times New Roman"/>
          <w:color w:val="222222"/>
          <w:sz w:val="24"/>
          <w:szCs w:val="24"/>
        </w:rPr>
        <w:t xml:space="preserve"> 2022). The effectiveness of this complete intervention plan is to provide a mental health program to the members of the LGBTQ community for improving their participation in society by creating job opportunities and education opportunities. It can also enable them to contribute to the development of society and self-improvement. Participation of the LGBTQ community members in different activities in society can help them interact with other people and get proper knowledge from society. It can develop effective communication between the members of the LGBTQ community and all the people in society. It can also encourage different NGOs to contribute to the development of the LGBTQ community of members. The complete intervention plan can create a positive impact on society by changing stereotypical views of the members of the LGBTQ community. It can create strong cooperation and bonding between the local people and the LGBTQ community. This complete intervention framework can also help the LGBTQ community participate in mainstream society's activities (Epps, </w:t>
      </w:r>
      <w:proofErr w:type="spellStart"/>
      <w:r>
        <w:rPr>
          <w:rFonts w:ascii="Times New Roman" w:eastAsia="Times New Roman" w:hAnsi="Times New Roman" w:cs="Times New Roman"/>
          <w:color w:val="222222"/>
          <w:sz w:val="24"/>
          <w:szCs w:val="24"/>
        </w:rPr>
        <w:t>Markowski</w:t>
      </w:r>
      <w:proofErr w:type="spellEnd"/>
      <w:r>
        <w:rPr>
          <w:rFonts w:ascii="Times New Roman" w:eastAsia="Times New Roman" w:hAnsi="Times New Roman" w:cs="Times New Roman"/>
          <w:color w:val="222222"/>
          <w:sz w:val="24"/>
          <w:szCs w:val="24"/>
        </w:rPr>
        <w:t xml:space="preserve">, and Cleaver, 2021). With the help of an inclusive education </w:t>
      </w:r>
      <w:proofErr w:type="gramStart"/>
      <w:r>
        <w:rPr>
          <w:rFonts w:ascii="Times New Roman" w:eastAsia="Times New Roman" w:hAnsi="Times New Roman" w:cs="Times New Roman"/>
          <w:color w:val="222222"/>
          <w:sz w:val="24"/>
          <w:szCs w:val="24"/>
        </w:rPr>
        <w:t>policy,  it</w:t>
      </w:r>
      <w:proofErr w:type="gramEnd"/>
      <w:r>
        <w:rPr>
          <w:rFonts w:ascii="Times New Roman" w:eastAsia="Times New Roman" w:hAnsi="Times New Roman" w:cs="Times New Roman"/>
          <w:color w:val="222222"/>
          <w:sz w:val="24"/>
          <w:szCs w:val="24"/>
        </w:rPr>
        <w:t xml:space="preserve"> can be easier for the authority to provide education to the community members in a common classroom with other students. This helps the community members to regain confidence and avail all the opportunities in society. It also helps to provide mental sustainability to the LGBTQ community members through mental health programs and employment opportunities. On the other </w:t>
      </w:r>
      <w:proofErr w:type="gramStart"/>
      <w:r>
        <w:rPr>
          <w:rFonts w:ascii="Times New Roman" w:eastAsia="Times New Roman" w:hAnsi="Times New Roman" w:cs="Times New Roman"/>
          <w:color w:val="222222"/>
          <w:sz w:val="24"/>
          <w:szCs w:val="24"/>
        </w:rPr>
        <w:t>hand,  local</w:t>
      </w:r>
      <w:proofErr w:type="gramEnd"/>
      <w:r>
        <w:rPr>
          <w:rFonts w:ascii="Times New Roman" w:eastAsia="Times New Roman" w:hAnsi="Times New Roman" w:cs="Times New Roman"/>
          <w:color w:val="222222"/>
          <w:sz w:val="24"/>
          <w:szCs w:val="24"/>
        </w:rPr>
        <w:t xml:space="preserve"> administration can help them to improve their employability in society and find suitable job opportunities (</w:t>
      </w:r>
      <w:proofErr w:type="spellStart"/>
      <w:r>
        <w:rPr>
          <w:rFonts w:ascii="Times New Roman" w:eastAsia="Times New Roman" w:hAnsi="Times New Roman" w:cs="Times New Roman"/>
          <w:color w:val="222222"/>
          <w:sz w:val="24"/>
          <w:szCs w:val="24"/>
        </w:rPr>
        <w:t>Abelha</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et al.</w:t>
      </w:r>
      <w:r>
        <w:rPr>
          <w:rFonts w:ascii="Times New Roman" w:eastAsia="Times New Roman" w:hAnsi="Times New Roman" w:cs="Times New Roman"/>
          <w:color w:val="222222"/>
          <w:sz w:val="24"/>
          <w:szCs w:val="24"/>
        </w:rPr>
        <w:t xml:space="preserve"> 2020).</w:t>
      </w:r>
    </w:p>
    <w:p w14:paraId="2A4E5D54"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222222"/>
          <w:sz w:val="24"/>
          <w:szCs w:val="24"/>
        </w:rPr>
        <w:lastRenderedPageBreak/>
        <w:t>Research design and rationale:</w:t>
      </w:r>
    </w:p>
    <w:p w14:paraId="1B5F1FBB"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An </w:t>
      </w:r>
      <w:r>
        <w:rPr>
          <w:rFonts w:ascii="Times New Roman" w:eastAsia="Times New Roman" w:hAnsi="Times New Roman" w:cs="Times New Roman"/>
          <w:b/>
          <w:i/>
          <w:color w:val="222222"/>
          <w:sz w:val="24"/>
          <w:szCs w:val="24"/>
        </w:rPr>
        <w:t xml:space="preserve">observational research design </w:t>
      </w:r>
      <w:r>
        <w:rPr>
          <w:rFonts w:ascii="Times New Roman" w:eastAsia="Times New Roman" w:hAnsi="Times New Roman" w:cs="Times New Roman"/>
          <w:color w:val="222222"/>
          <w:sz w:val="24"/>
          <w:szCs w:val="24"/>
        </w:rPr>
        <w:t>can be helpful for monitoring the details of the complete intervention plan for ensuring the mental health of the LGBTQ community by improving education and employability factors (</w:t>
      </w:r>
      <w:proofErr w:type="spellStart"/>
      <w:r>
        <w:rPr>
          <w:rFonts w:ascii="Times New Roman" w:eastAsia="Times New Roman" w:hAnsi="Times New Roman" w:cs="Times New Roman"/>
          <w:color w:val="222222"/>
          <w:sz w:val="24"/>
          <w:szCs w:val="24"/>
        </w:rPr>
        <w:t>Pingault</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et al.</w:t>
      </w:r>
      <w:r>
        <w:rPr>
          <w:rFonts w:ascii="Times New Roman" w:eastAsia="Times New Roman" w:hAnsi="Times New Roman" w:cs="Times New Roman"/>
          <w:color w:val="222222"/>
          <w:sz w:val="24"/>
          <w:szCs w:val="24"/>
        </w:rPr>
        <w:t xml:space="preserve"> 2018). This research design can provide an opportunity to observe the characteristics of the participants in the mental health program. In the mental health </w:t>
      </w:r>
      <w:proofErr w:type="gramStart"/>
      <w:r>
        <w:rPr>
          <w:rFonts w:ascii="Times New Roman" w:eastAsia="Times New Roman" w:hAnsi="Times New Roman" w:cs="Times New Roman"/>
          <w:color w:val="222222"/>
          <w:sz w:val="24"/>
          <w:szCs w:val="24"/>
        </w:rPr>
        <w:t>program,  the</w:t>
      </w:r>
      <w:proofErr w:type="gramEnd"/>
      <w:r>
        <w:rPr>
          <w:rFonts w:ascii="Times New Roman" w:eastAsia="Times New Roman" w:hAnsi="Times New Roman" w:cs="Times New Roman"/>
          <w:color w:val="222222"/>
          <w:sz w:val="24"/>
          <w:szCs w:val="24"/>
        </w:rPr>
        <w:t xml:space="preserve"> community members can be in different situations to improve their understanding and express their issues to the psychiatrist and psychologist. The participation technique and phenomena can highlight their behaviour and the intensity of the mental health problems. </w:t>
      </w:r>
      <w:proofErr w:type="gramStart"/>
      <w:r>
        <w:rPr>
          <w:rFonts w:ascii="Times New Roman" w:eastAsia="Times New Roman" w:hAnsi="Times New Roman" w:cs="Times New Roman"/>
          <w:color w:val="222222"/>
          <w:sz w:val="24"/>
          <w:szCs w:val="24"/>
        </w:rPr>
        <w:t>Moreover,  their</w:t>
      </w:r>
      <w:proofErr w:type="gramEnd"/>
      <w:r>
        <w:rPr>
          <w:rFonts w:ascii="Times New Roman" w:eastAsia="Times New Roman" w:hAnsi="Times New Roman" w:cs="Times New Roman"/>
          <w:color w:val="222222"/>
          <w:sz w:val="24"/>
          <w:szCs w:val="24"/>
        </w:rPr>
        <w:t xml:space="preserve"> reaction can help the psychiatrists to understand their mental health issues and the requirement for reducing the problems. The behaviour and skill of the community members can be observed through different activities during the conflict intervention program. An observational research design can provide an opportunity for the researcher to monitor the skills and communication process of the LGBTQ community members in society (Paneth and Joyner, 2021). This also highlights the behavioural traits of the community members. The decision-making capabilities of the LGBTQ community and its members can be monitored in the complex intervention plan. This can allow cross-sectional interviews to identify the threat factors that can impact sustainability. An observational research design focuses on a target population and case series. Case reports are important in observational research design. By observing the behaviour and decision-making capabilities of the LGBTQ community members, it can be helpful to record the necessary things for providing better facilities and opportunities to them. It also highlights the need to provide job opportunities and education to the community members to improve their skills and contribute to society (Mishima </w:t>
      </w:r>
      <w:r>
        <w:rPr>
          <w:rFonts w:ascii="Times New Roman" w:eastAsia="Times New Roman" w:hAnsi="Times New Roman" w:cs="Times New Roman"/>
          <w:i/>
          <w:color w:val="222222"/>
          <w:sz w:val="24"/>
          <w:szCs w:val="24"/>
        </w:rPr>
        <w:t xml:space="preserve">et al. </w:t>
      </w:r>
      <w:r>
        <w:rPr>
          <w:rFonts w:ascii="Times New Roman" w:eastAsia="Times New Roman" w:hAnsi="Times New Roman" w:cs="Times New Roman"/>
          <w:color w:val="222222"/>
          <w:sz w:val="24"/>
          <w:szCs w:val="24"/>
        </w:rPr>
        <w:t xml:space="preserve">2022). </w:t>
      </w:r>
    </w:p>
    <w:p w14:paraId="2B5115F6"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222222"/>
          <w:sz w:val="24"/>
          <w:szCs w:val="24"/>
        </w:rPr>
        <w:t xml:space="preserve">Range of factors required for </w:t>
      </w:r>
      <w:proofErr w:type="gramStart"/>
      <w:r>
        <w:rPr>
          <w:rFonts w:ascii="Times New Roman" w:eastAsia="Times New Roman" w:hAnsi="Times New Roman" w:cs="Times New Roman"/>
          <w:b/>
          <w:i/>
          <w:color w:val="222222"/>
          <w:sz w:val="24"/>
          <w:szCs w:val="24"/>
        </w:rPr>
        <w:t>measurement :</w:t>
      </w:r>
      <w:proofErr w:type="gramEnd"/>
    </w:p>
    <w:p w14:paraId="60C44DB7"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There are different ranges of factors that can determine the success of a complex intervention plan. Social behaviour and </w:t>
      </w:r>
      <w:proofErr w:type="gramStart"/>
      <w:r>
        <w:rPr>
          <w:rFonts w:ascii="Times New Roman" w:eastAsia="Times New Roman" w:hAnsi="Times New Roman" w:cs="Times New Roman"/>
          <w:color w:val="222222"/>
          <w:sz w:val="24"/>
          <w:szCs w:val="24"/>
        </w:rPr>
        <w:t>communication,  improvement</w:t>
      </w:r>
      <w:proofErr w:type="gramEnd"/>
      <w:r>
        <w:rPr>
          <w:rFonts w:ascii="Times New Roman" w:eastAsia="Times New Roman" w:hAnsi="Times New Roman" w:cs="Times New Roman"/>
          <w:color w:val="222222"/>
          <w:sz w:val="24"/>
          <w:szCs w:val="24"/>
        </w:rPr>
        <w:t xml:space="preserve"> in job opportunities and education for the LGBTQ community and skill improvement are the range of factors that can be chosen for the measurement in evaluation. Social behaviour and communication can play an important role in the evolution process. Social behaviour and communication can help the community members to establish a positive relationship with society. It can provide them with an opportunity to take part in different activities in society. This factor can provide efficient data to the complete intervention plan for making strategies. It is also necessary to provide job opportunities to the LGBTQ community members (Taylor, 2018). </w:t>
      </w:r>
      <w:proofErr w:type="gramStart"/>
      <w:r>
        <w:rPr>
          <w:rFonts w:ascii="Times New Roman" w:eastAsia="Times New Roman" w:hAnsi="Times New Roman" w:cs="Times New Roman"/>
          <w:color w:val="222222"/>
          <w:sz w:val="24"/>
          <w:szCs w:val="24"/>
        </w:rPr>
        <w:t>Hence,  it</w:t>
      </w:r>
      <w:proofErr w:type="gramEnd"/>
      <w:r>
        <w:rPr>
          <w:rFonts w:ascii="Times New Roman" w:eastAsia="Times New Roman" w:hAnsi="Times New Roman" w:cs="Times New Roman"/>
          <w:color w:val="222222"/>
          <w:sz w:val="24"/>
          <w:szCs w:val="24"/>
        </w:rPr>
        <w:t xml:space="preserve"> is important to monitor the available job opportunities for the community members that can help them to </w:t>
      </w:r>
      <w:r>
        <w:rPr>
          <w:rFonts w:ascii="Times New Roman" w:eastAsia="Times New Roman" w:hAnsi="Times New Roman" w:cs="Times New Roman"/>
          <w:color w:val="222222"/>
          <w:sz w:val="24"/>
          <w:szCs w:val="24"/>
        </w:rPr>
        <w:lastRenderedPageBreak/>
        <w:t>maintain sustainability. Job opportunities can also help them to be independent. This is an important part of the evaluation incomplete intervention plan. Job satisfaction can provide mental satisfaction to the community members and can improve their psychological aspects (</w:t>
      </w:r>
      <w:proofErr w:type="spellStart"/>
      <w:r>
        <w:rPr>
          <w:rFonts w:ascii="Times New Roman" w:eastAsia="Times New Roman" w:hAnsi="Times New Roman" w:cs="Times New Roman"/>
          <w:color w:val="000000"/>
          <w:sz w:val="24"/>
          <w:szCs w:val="24"/>
        </w:rPr>
        <w:t>Hünefeld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Gerstenberg</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Hüffmeier</w:t>
      </w:r>
      <w:proofErr w:type="spellEnd"/>
      <w:r>
        <w:rPr>
          <w:rFonts w:ascii="Times New Roman" w:eastAsia="Times New Roman" w:hAnsi="Times New Roman" w:cs="Times New Roman"/>
          <w:color w:val="000000"/>
          <w:sz w:val="24"/>
          <w:szCs w:val="24"/>
        </w:rPr>
        <w:t>, 2020</w:t>
      </w:r>
      <w:r>
        <w:rPr>
          <w:rFonts w:ascii="Times New Roman" w:eastAsia="Times New Roman" w:hAnsi="Times New Roman" w:cs="Times New Roman"/>
          <w:color w:val="222222"/>
          <w:sz w:val="24"/>
          <w:szCs w:val="24"/>
        </w:rPr>
        <w:t>). Besides monitoring the job opportunities in society, it is also important to monitor the available education opportunities for the community members. Education can improve their knowledge and skills that can contribute to the development of employability in society as an individual. It can reduce the stereotypical social views of the LGBTQ community members. Improvement in skill can contribute to the improvement of employability in society that can help them to find jobs in the United Kingdom. The behavioural traits are also important for monitoring the evaluation of the complex intervention plan for improving the mental health problems of the LGBTQ community members.</w:t>
      </w:r>
    </w:p>
    <w:p w14:paraId="65E64D08"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222222"/>
          <w:sz w:val="24"/>
          <w:szCs w:val="24"/>
        </w:rPr>
        <w:t xml:space="preserve">Cost-effectiveness </w:t>
      </w:r>
      <w:proofErr w:type="gramStart"/>
      <w:r>
        <w:rPr>
          <w:rFonts w:ascii="Times New Roman" w:eastAsia="Times New Roman" w:hAnsi="Times New Roman" w:cs="Times New Roman"/>
          <w:b/>
          <w:i/>
          <w:color w:val="222222"/>
          <w:sz w:val="24"/>
          <w:szCs w:val="24"/>
        </w:rPr>
        <w:t>measurement :</w:t>
      </w:r>
      <w:proofErr w:type="gramEnd"/>
    </w:p>
    <w:p w14:paraId="4F2606CB"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The cost-effectiveness of the complex intervention plan depends on the initiatives and programs, which are the important parts of this intervention framework (</w:t>
      </w:r>
      <w:proofErr w:type="spellStart"/>
      <w:r>
        <w:rPr>
          <w:rFonts w:ascii="Times New Roman" w:eastAsia="Times New Roman" w:hAnsi="Times New Roman" w:cs="Times New Roman"/>
          <w:color w:val="222222"/>
          <w:sz w:val="24"/>
          <w:szCs w:val="24"/>
        </w:rPr>
        <w:t>Vanness</w:t>
      </w:r>
      <w:proofErr w:type="spellEnd"/>
      <w:r>
        <w:rPr>
          <w:rFonts w:ascii="Times New Roman" w:eastAsia="Times New Roman" w:hAnsi="Times New Roman" w:cs="Times New Roman"/>
          <w:color w:val="222222"/>
          <w:sz w:val="24"/>
          <w:szCs w:val="24"/>
        </w:rPr>
        <w:t xml:space="preserve">, Lomas, and </w:t>
      </w:r>
      <w:proofErr w:type="spellStart"/>
      <w:r>
        <w:rPr>
          <w:rFonts w:ascii="Times New Roman" w:eastAsia="Times New Roman" w:hAnsi="Times New Roman" w:cs="Times New Roman"/>
          <w:color w:val="222222"/>
          <w:sz w:val="24"/>
          <w:szCs w:val="24"/>
        </w:rPr>
        <w:t>Ahn</w:t>
      </w:r>
      <w:proofErr w:type="spellEnd"/>
      <w:r>
        <w:rPr>
          <w:rFonts w:ascii="Times New Roman" w:eastAsia="Times New Roman" w:hAnsi="Times New Roman" w:cs="Times New Roman"/>
          <w:color w:val="222222"/>
          <w:sz w:val="24"/>
          <w:szCs w:val="24"/>
        </w:rPr>
        <w:t xml:space="preserve">, 2021). The complex intervention framework for improving the mental health of the LGBTQ community members consists of awareness </w:t>
      </w:r>
      <w:proofErr w:type="gramStart"/>
      <w:r>
        <w:rPr>
          <w:rFonts w:ascii="Times New Roman" w:eastAsia="Times New Roman" w:hAnsi="Times New Roman" w:cs="Times New Roman"/>
          <w:color w:val="222222"/>
          <w:sz w:val="24"/>
          <w:szCs w:val="24"/>
        </w:rPr>
        <w:t>camps,  free</w:t>
      </w:r>
      <w:proofErr w:type="gramEnd"/>
      <w:r>
        <w:rPr>
          <w:rFonts w:ascii="Times New Roman" w:eastAsia="Times New Roman" w:hAnsi="Times New Roman" w:cs="Times New Roman"/>
          <w:color w:val="222222"/>
          <w:sz w:val="24"/>
          <w:szCs w:val="24"/>
        </w:rPr>
        <w:t xml:space="preserve"> education through inclusive education policies of the United Kingdom government,  mental health </w:t>
      </w:r>
      <w:proofErr w:type="spellStart"/>
      <w:r>
        <w:rPr>
          <w:rFonts w:ascii="Times New Roman" w:eastAsia="Times New Roman" w:hAnsi="Times New Roman" w:cs="Times New Roman"/>
          <w:color w:val="222222"/>
          <w:sz w:val="24"/>
          <w:szCs w:val="24"/>
        </w:rPr>
        <w:t>checkup</w:t>
      </w:r>
      <w:proofErr w:type="spellEnd"/>
      <w:r>
        <w:rPr>
          <w:rFonts w:ascii="Times New Roman" w:eastAsia="Times New Roman" w:hAnsi="Times New Roman" w:cs="Times New Roman"/>
          <w:color w:val="222222"/>
          <w:sz w:val="24"/>
          <w:szCs w:val="24"/>
        </w:rPr>
        <w:t xml:space="preserve"> by the psychiatrist and improving skills of the LGBTQ community members for improving their employability to get a job. These programs require a negligible amount, but they can have a strong impact on society by improving different factors associated with the development of the LGBTQ community. The awareness camps can create awareness regarding the importance of education and improvement of the LGBTQ community in society. This can also help to reduce different misconceptions and stereotype thoughts about the LGBTQ community members in society and can provide them with an opportunity to participate in society. This can boost the self-confidence of the community members and can help them to improve their communication skills and interact with different people in society (Lawton, 2018). On the other </w:t>
      </w:r>
      <w:proofErr w:type="gramStart"/>
      <w:r>
        <w:rPr>
          <w:rFonts w:ascii="Times New Roman" w:eastAsia="Times New Roman" w:hAnsi="Times New Roman" w:cs="Times New Roman"/>
          <w:color w:val="222222"/>
          <w:sz w:val="24"/>
          <w:szCs w:val="24"/>
        </w:rPr>
        <w:t>hand,  the</w:t>
      </w:r>
      <w:proofErr w:type="gramEnd"/>
      <w:r>
        <w:rPr>
          <w:rFonts w:ascii="Times New Roman" w:eastAsia="Times New Roman" w:hAnsi="Times New Roman" w:cs="Times New Roman"/>
          <w:color w:val="222222"/>
          <w:sz w:val="24"/>
          <w:szCs w:val="24"/>
        </w:rPr>
        <w:t xml:space="preserve"> role of a psychologist and psychiatrist can also contribute to the cost-effectiveness of the complex intervention plan. Volunteering participation of different medical and Healthcare executives can help to understand the mental health issues of the community members while maintaining the cost-effectiveness of the complex intervention plan. However, the outcomes can highlight the success of the complex intervention plan that aims to provide better mental health to the LGBTQ community by providing them education and employment opportunities in society. </w:t>
      </w:r>
      <w:r>
        <w:rPr>
          <w:rFonts w:ascii="Times New Roman" w:eastAsia="Times New Roman" w:hAnsi="Times New Roman" w:cs="Times New Roman"/>
          <w:color w:val="222222"/>
          <w:sz w:val="24"/>
          <w:szCs w:val="24"/>
        </w:rPr>
        <w:lastRenderedPageBreak/>
        <w:t>Hence, the cost-effectiveness of this complex intervention plan is also dependent on the outcomes of this project.</w:t>
      </w:r>
    </w:p>
    <w:p w14:paraId="00DF8041" w14:textId="77777777" w:rsidR="00FB67DE" w:rsidRDefault="00000000">
      <w:pPr>
        <w:pBdr>
          <w:top w:val="nil"/>
          <w:left w:val="nil"/>
          <w:bottom w:val="nil"/>
          <w:right w:val="nil"/>
          <w:between w:val="nil"/>
        </w:pBdr>
        <w:shd w:val="clear" w:color="auto" w:fill="FFFFFF"/>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222222"/>
          <w:sz w:val="24"/>
          <w:szCs w:val="24"/>
        </w:rPr>
        <w:t xml:space="preserve">Relevant stakeholders and their </w:t>
      </w:r>
      <w:proofErr w:type="gramStart"/>
      <w:r>
        <w:rPr>
          <w:rFonts w:ascii="Times New Roman" w:eastAsia="Times New Roman" w:hAnsi="Times New Roman" w:cs="Times New Roman"/>
          <w:b/>
          <w:i/>
          <w:color w:val="222222"/>
          <w:sz w:val="24"/>
          <w:szCs w:val="24"/>
        </w:rPr>
        <w:t>importance :</w:t>
      </w:r>
      <w:proofErr w:type="gramEnd"/>
    </w:p>
    <w:p w14:paraId="1947DD50" w14:textId="77777777" w:rsidR="00FB67DE" w:rsidRDefault="00000000">
      <w:pPr>
        <w:pBdr>
          <w:top w:val="nil"/>
          <w:left w:val="nil"/>
          <w:bottom w:val="nil"/>
          <w:right w:val="nil"/>
          <w:between w:val="nil"/>
        </w:pBdr>
        <w:spacing w:line="360" w:lineRule="auto"/>
        <w:ind w:right="-4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The role of relevant stakeholders is also important for developing a complex intervention plan for providing mental stability to the LGBTQ community. The government of the United </w:t>
      </w:r>
      <w:proofErr w:type="gramStart"/>
      <w:r>
        <w:rPr>
          <w:rFonts w:ascii="Times New Roman" w:eastAsia="Times New Roman" w:hAnsi="Times New Roman" w:cs="Times New Roman"/>
          <w:color w:val="222222"/>
          <w:sz w:val="24"/>
          <w:szCs w:val="24"/>
        </w:rPr>
        <w:t>Kingdom,  local</w:t>
      </w:r>
      <w:proofErr w:type="gramEnd"/>
      <w:r>
        <w:rPr>
          <w:rFonts w:ascii="Times New Roman" w:eastAsia="Times New Roman" w:hAnsi="Times New Roman" w:cs="Times New Roman"/>
          <w:color w:val="222222"/>
          <w:sz w:val="24"/>
          <w:szCs w:val="24"/>
        </w:rPr>
        <w:t xml:space="preserve"> education administration, NGOs,  public bodies and the community head of the LGBTQ community of all relevant stakeholders in this complex intervention plan. The Government of the United Kingdom is one of the most important stakeholders in the complex intervention plan (Maine, 2022). The policies regarding the development and education of the LGBTQ community and its members are dependent on the decisions of the government in the United Kingdom. It is also important to take permission from the government before implementing the conflict intervention plan for the development of the LGBTQ community in the country. The local education administration is also important for implementing the inclusive education policy for the community members so that they can avail education in the common classroom with others. This can improve the knowledge about different subjects and improve the </w:t>
      </w:r>
      <w:proofErr w:type="gramStart"/>
      <w:r>
        <w:rPr>
          <w:rFonts w:ascii="Times New Roman" w:eastAsia="Times New Roman" w:hAnsi="Times New Roman" w:cs="Times New Roman"/>
          <w:color w:val="222222"/>
          <w:sz w:val="24"/>
          <w:szCs w:val="24"/>
        </w:rPr>
        <w:t>decision making</w:t>
      </w:r>
      <w:proofErr w:type="gramEnd"/>
      <w:r>
        <w:rPr>
          <w:rFonts w:ascii="Times New Roman" w:eastAsia="Times New Roman" w:hAnsi="Times New Roman" w:cs="Times New Roman"/>
          <w:color w:val="222222"/>
          <w:sz w:val="24"/>
          <w:szCs w:val="24"/>
        </w:rPr>
        <w:t xml:space="preserve"> capability. Different school and college authorities are also responsible for implementing inclusive education as a framework for providing education to the LGBTQ community members in the United Kingdom. On the other hand, NGOs can also play a critical role in arranging different activities that can help to improve the participation of the LGBTQ community members in society (</w:t>
      </w:r>
      <w:proofErr w:type="spellStart"/>
      <w:r>
        <w:rPr>
          <w:rFonts w:ascii="Times New Roman" w:eastAsia="Times New Roman" w:hAnsi="Times New Roman" w:cs="Times New Roman"/>
          <w:color w:val="222222"/>
          <w:sz w:val="24"/>
          <w:szCs w:val="24"/>
        </w:rPr>
        <w:t>Woulfe</w:t>
      </w:r>
      <w:proofErr w:type="spellEnd"/>
      <w:r>
        <w:rPr>
          <w:rFonts w:ascii="Times New Roman" w:eastAsia="Times New Roman" w:hAnsi="Times New Roman" w:cs="Times New Roman"/>
          <w:color w:val="222222"/>
          <w:sz w:val="24"/>
          <w:szCs w:val="24"/>
        </w:rPr>
        <w:t xml:space="preserve"> and Goodman, 2021). These non-government organisations are also responsible for developing communication between different stakeholders associated with the complex intervention land in the United Kingdom. The participation of the community head of the LGBTQ community can help the authority to improve the engagement of the community members in the complex intervention framework for improving their </w:t>
      </w:r>
      <w:proofErr w:type="gramStart"/>
      <w:r>
        <w:rPr>
          <w:rFonts w:ascii="Times New Roman" w:eastAsia="Times New Roman" w:hAnsi="Times New Roman" w:cs="Times New Roman"/>
          <w:color w:val="222222"/>
          <w:sz w:val="24"/>
          <w:szCs w:val="24"/>
        </w:rPr>
        <w:t>employability,  knowledge</w:t>
      </w:r>
      <w:proofErr w:type="gramEnd"/>
      <w:r>
        <w:rPr>
          <w:rFonts w:ascii="Times New Roman" w:eastAsia="Times New Roman" w:hAnsi="Times New Roman" w:cs="Times New Roman"/>
          <w:color w:val="222222"/>
          <w:sz w:val="24"/>
          <w:szCs w:val="24"/>
        </w:rPr>
        <w:t xml:space="preserve"> and skill for finding a job in the United Kingdom. </w:t>
      </w:r>
      <w:proofErr w:type="gramStart"/>
      <w:r>
        <w:rPr>
          <w:rFonts w:ascii="Times New Roman" w:eastAsia="Times New Roman" w:hAnsi="Times New Roman" w:cs="Times New Roman"/>
          <w:color w:val="222222"/>
          <w:sz w:val="24"/>
          <w:szCs w:val="24"/>
        </w:rPr>
        <w:t>However,  the</w:t>
      </w:r>
      <w:proofErr w:type="gramEnd"/>
      <w:r>
        <w:rPr>
          <w:rFonts w:ascii="Times New Roman" w:eastAsia="Times New Roman" w:hAnsi="Times New Roman" w:cs="Times New Roman"/>
          <w:color w:val="222222"/>
          <w:sz w:val="24"/>
          <w:szCs w:val="24"/>
        </w:rPr>
        <w:t xml:space="preserve"> support from the local administration and local bodies can also contribute to the development of a complex intervention plan to improve the mental health of the LGBTQ community. </w:t>
      </w:r>
    </w:p>
    <w:p w14:paraId="7501F32B" w14:textId="77777777" w:rsidR="00FB67DE" w:rsidRDefault="00000000">
      <w:pPr>
        <w:keepNext/>
        <w:keepLines/>
        <w:pBdr>
          <w:top w:val="nil"/>
          <w:left w:val="nil"/>
          <w:bottom w:val="nil"/>
          <w:right w:val="nil"/>
          <w:between w:val="nil"/>
        </w:pBdr>
        <w:spacing w:before="400" w:after="120"/>
        <w:rPr>
          <w:rFonts w:ascii="Times New Roman" w:eastAsia="Times New Roman" w:hAnsi="Times New Roman" w:cs="Times New Roman"/>
          <w:b/>
          <w:color w:val="000000"/>
          <w:sz w:val="28"/>
          <w:szCs w:val="28"/>
        </w:rPr>
      </w:pPr>
      <w:bookmarkStart w:id="4" w:name="_2et92p0" w:colFirst="0" w:colLast="0"/>
      <w:bookmarkEnd w:id="4"/>
      <w:r>
        <w:rPr>
          <w:rFonts w:ascii="Times New Roman" w:eastAsia="Times New Roman" w:hAnsi="Times New Roman" w:cs="Times New Roman"/>
          <w:b/>
          <w:color w:val="000000"/>
          <w:sz w:val="28"/>
          <w:szCs w:val="28"/>
        </w:rPr>
        <w:t xml:space="preserve">Conclusion </w:t>
      </w:r>
    </w:p>
    <w:p w14:paraId="66DAAB4C" w14:textId="77777777" w:rsidR="00FB67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provided an opportunity to focus research on the mental health programs for the UK based LGBTQ community through varied interventions, including different education and employment opportunities. The assignment reflected that a complex intervention such as educational and employment opportunities will enable the LGBTQ community to be empowered and will also help in addressing different mental health issues dealing with social </w:t>
      </w:r>
      <w:r>
        <w:rPr>
          <w:rFonts w:ascii="Times New Roman" w:eastAsia="Times New Roman" w:hAnsi="Times New Roman" w:cs="Times New Roman"/>
          <w:sz w:val="24"/>
          <w:szCs w:val="24"/>
        </w:rPr>
        <w:lastRenderedPageBreak/>
        <w:t xml:space="preserve">stereotypes. It was also reflected that there are many factors such as </w:t>
      </w:r>
      <w:proofErr w:type="spellStart"/>
      <w:proofErr w:type="gramStart"/>
      <w:r>
        <w:rPr>
          <w:rFonts w:ascii="Times New Roman" w:eastAsia="Times New Roman" w:hAnsi="Times New Roman" w:cs="Times New Roman"/>
          <w:sz w:val="24"/>
          <w:szCs w:val="24"/>
        </w:rPr>
        <w:t>there</w:t>
      </w:r>
      <w:proofErr w:type="spellEnd"/>
      <w:proofErr w:type="gramEnd"/>
      <w:r>
        <w:rPr>
          <w:rFonts w:ascii="Times New Roman" w:eastAsia="Times New Roman" w:hAnsi="Times New Roman" w:cs="Times New Roman"/>
          <w:sz w:val="24"/>
          <w:szCs w:val="24"/>
        </w:rPr>
        <w:t xml:space="preserve"> annual income discrimination communication gap and other behavioural traits which are the major reasons for the mental issues in the LGBTQ community. An evaluation plan based upon the effective research perspective and observational research have also been addressed above. Moreover, several measurements for a cost-effective framework, including a negligible amount for </w:t>
      </w:r>
      <w:proofErr w:type="spellStart"/>
      <w:r>
        <w:rPr>
          <w:rFonts w:ascii="Times New Roman" w:eastAsia="Times New Roman" w:hAnsi="Times New Roman" w:cs="Times New Roman"/>
          <w:sz w:val="24"/>
          <w:szCs w:val="24"/>
        </w:rPr>
        <w:t>checkups</w:t>
      </w:r>
      <w:proofErr w:type="spellEnd"/>
      <w:r>
        <w:rPr>
          <w:rFonts w:ascii="Times New Roman" w:eastAsia="Times New Roman" w:hAnsi="Times New Roman" w:cs="Times New Roman"/>
          <w:sz w:val="24"/>
          <w:szCs w:val="24"/>
        </w:rPr>
        <w:t>, have also been introduced while reflecting upon essential stakeholders such as the government NGOs and other public bodies.</w:t>
      </w:r>
    </w:p>
    <w:p w14:paraId="6DEA6FC7" w14:textId="77777777" w:rsidR="00FB67DE"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5CF1815" w14:textId="77777777" w:rsidR="00FB67DE" w:rsidRDefault="00FB67DE">
      <w:pPr>
        <w:rPr>
          <w:rFonts w:ascii="Times New Roman" w:eastAsia="Times New Roman" w:hAnsi="Times New Roman" w:cs="Times New Roman"/>
          <w:sz w:val="24"/>
          <w:szCs w:val="24"/>
        </w:rPr>
      </w:pPr>
    </w:p>
    <w:p w14:paraId="04DBC1F6" w14:textId="77777777" w:rsidR="00FB67DE" w:rsidRDefault="00000000">
      <w:pPr>
        <w:rPr>
          <w:rFonts w:ascii="Times New Roman" w:eastAsia="Times New Roman" w:hAnsi="Times New Roman" w:cs="Times New Roman"/>
          <w:b/>
          <w:color w:val="000000"/>
          <w:sz w:val="28"/>
          <w:szCs w:val="28"/>
        </w:rPr>
      </w:pPr>
      <w:bookmarkStart w:id="5" w:name="_tyjcwt" w:colFirst="0" w:colLast="0"/>
      <w:bookmarkEnd w:id="5"/>
      <w:r>
        <w:br w:type="page"/>
      </w:r>
    </w:p>
    <w:p w14:paraId="7DACB628" w14:textId="77777777" w:rsidR="00FB67DE" w:rsidRDefault="00000000">
      <w:pPr>
        <w:keepNext/>
        <w:keepLines/>
        <w:pBdr>
          <w:top w:val="nil"/>
          <w:left w:val="nil"/>
          <w:bottom w:val="nil"/>
          <w:right w:val="nil"/>
          <w:between w:val="nil"/>
        </w:pBdr>
        <w:spacing w:before="40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References</w:t>
      </w:r>
    </w:p>
    <w:p w14:paraId="65D51AC9" w14:textId="77777777" w:rsidR="00FB67DE" w:rsidRDefault="00000000">
      <w:pPr>
        <w:spacing w:before="240" w:after="24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Abdullayev, A.A., 2020. System of information and communication technologies in the education. </w:t>
      </w:r>
      <w:r>
        <w:rPr>
          <w:rFonts w:ascii="Times New Roman" w:eastAsia="Times New Roman" w:hAnsi="Times New Roman" w:cs="Times New Roman"/>
          <w:i/>
          <w:color w:val="222222"/>
          <w:sz w:val="24"/>
          <w:szCs w:val="24"/>
        </w:rPr>
        <w:t>Science and world International scientific journal</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w:t>
      </w:r>
      <w:r>
        <w:rPr>
          <w:rFonts w:ascii="Times New Roman" w:eastAsia="Times New Roman" w:hAnsi="Times New Roman" w:cs="Times New Roman"/>
          <w:color w:val="222222"/>
          <w:sz w:val="24"/>
          <w:szCs w:val="24"/>
        </w:rPr>
        <w:t>, pp.19-21. Available at:  &lt;</w:t>
      </w:r>
      <w:hyperlink r:id="rId7" w:anchor="page=19">
        <w:r>
          <w:rPr>
            <w:rFonts w:ascii="Times New Roman" w:eastAsia="Times New Roman" w:hAnsi="Times New Roman" w:cs="Times New Roman"/>
            <w:color w:val="1155CC"/>
            <w:sz w:val="24"/>
            <w:szCs w:val="24"/>
            <w:u w:val="single"/>
          </w:rPr>
          <w:t>http://en.scienceph.ru/f/science_and_world_no_5_81_may_vol_ii.pdf#page=19</w:t>
        </w:r>
      </w:hyperlink>
      <w:r>
        <w:rPr>
          <w:rFonts w:ascii="Times New Roman" w:eastAsia="Times New Roman" w:hAnsi="Times New Roman" w:cs="Times New Roman"/>
          <w:color w:val="1155CC"/>
          <w:sz w:val="24"/>
          <w:szCs w:val="24"/>
          <w:u w:val="single"/>
        </w:rPr>
        <w:t>&gt;</w:t>
      </w:r>
      <w:r>
        <w:rPr>
          <w:rFonts w:ascii="Times New Roman" w:eastAsia="Times New Roman" w:hAnsi="Times New Roman" w:cs="Times New Roman"/>
          <w:color w:val="222222"/>
          <w:sz w:val="24"/>
          <w:szCs w:val="24"/>
        </w:rPr>
        <w:t xml:space="preserve"> [ Accessed 2 April 2022]</w:t>
      </w:r>
    </w:p>
    <w:p w14:paraId="3B716D68" w14:textId="77777777" w:rsidR="00FB67DE" w:rsidRDefault="00000000">
      <w:pPr>
        <w:spacing w:before="240" w:after="240" w:line="360" w:lineRule="auto"/>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color w:val="222222"/>
          <w:sz w:val="24"/>
          <w:szCs w:val="24"/>
        </w:rPr>
        <w:t>Abelha</w:t>
      </w:r>
      <w:proofErr w:type="spellEnd"/>
      <w:r>
        <w:rPr>
          <w:rFonts w:ascii="Times New Roman" w:eastAsia="Times New Roman" w:hAnsi="Times New Roman" w:cs="Times New Roman"/>
          <w:color w:val="222222"/>
          <w:sz w:val="24"/>
          <w:szCs w:val="24"/>
        </w:rPr>
        <w:t xml:space="preserve">, M., Fernandes, S., Mesquita, D., </w:t>
      </w:r>
      <w:proofErr w:type="spellStart"/>
      <w:r>
        <w:rPr>
          <w:rFonts w:ascii="Times New Roman" w:eastAsia="Times New Roman" w:hAnsi="Times New Roman" w:cs="Times New Roman"/>
          <w:color w:val="222222"/>
          <w:sz w:val="24"/>
          <w:szCs w:val="24"/>
        </w:rPr>
        <w:t>Seabra</w:t>
      </w:r>
      <w:proofErr w:type="spellEnd"/>
      <w:r>
        <w:rPr>
          <w:rFonts w:ascii="Times New Roman" w:eastAsia="Times New Roman" w:hAnsi="Times New Roman" w:cs="Times New Roman"/>
          <w:color w:val="222222"/>
          <w:sz w:val="24"/>
          <w:szCs w:val="24"/>
        </w:rPr>
        <w:t xml:space="preserve">, F. and Ferreira-Oliveira, A.T., 2020. Graduate employability and competence development in higher education—a systematic literature review using PRISMA. </w:t>
      </w:r>
      <w:r>
        <w:rPr>
          <w:rFonts w:ascii="Times New Roman" w:eastAsia="Times New Roman" w:hAnsi="Times New Roman" w:cs="Times New Roman"/>
          <w:i/>
          <w:color w:val="222222"/>
          <w:sz w:val="24"/>
          <w:szCs w:val="24"/>
        </w:rPr>
        <w:t>Sustainability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12</w:t>
      </w:r>
      <w:r>
        <w:rPr>
          <w:rFonts w:ascii="Times New Roman" w:eastAsia="Times New Roman" w:hAnsi="Times New Roman" w:cs="Times New Roman"/>
          <w:color w:val="222222"/>
          <w:sz w:val="24"/>
          <w:szCs w:val="24"/>
        </w:rPr>
        <w:t>(15), p.5900.</w:t>
      </w:r>
      <w:hyperlink r:id="rId8">
        <w:r>
          <w:rPr>
            <w:rFonts w:ascii="Times New Roman" w:eastAsia="Times New Roman" w:hAnsi="Times New Roman" w:cs="Times New Roman"/>
            <w:color w:val="222222"/>
            <w:sz w:val="24"/>
            <w:szCs w:val="24"/>
          </w:rPr>
          <w:t xml:space="preserve"> </w:t>
        </w:r>
      </w:hyperlink>
      <w:hyperlink r:id="rId9">
        <w:r>
          <w:rPr>
            <w:rFonts w:ascii="Times New Roman" w:eastAsia="Times New Roman" w:hAnsi="Times New Roman" w:cs="Times New Roman"/>
            <w:color w:val="1155CC"/>
            <w:sz w:val="24"/>
            <w:szCs w:val="24"/>
            <w:u w:val="single"/>
          </w:rPr>
          <w:t>http://dx.doi.org/10.3390/su12155900</w:t>
        </w:r>
      </w:hyperlink>
    </w:p>
    <w:p w14:paraId="097F0733" w14:textId="77777777" w:rsidR="00FB67DE" w:rsidRDefault="00000000">
      <w:pPr>
        <w:spacing w:before="24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Bellhouse, C., Walker, S., Fairley, C.K., </w:t>
      </w:r>
      <w:proofErr w:type="spellStart"/>
      <w:r>
        <w:rPr>
          <w:rFonts w:ascii="Times New Roman" w:eastAsia="Times New Roman" w:hAnsi="Times New Roman" w:cs="Times New Roman"/>
          <w:color w:val="222222"/>
          <w:sz w:val="24"/>
          <w:szCs w:val="24"/>
        </w:rPr>
        <w:t>Vodstrcil</w:t>
      </w:r>
      <w:proofErr w:type="spellEnd"/>
      <w:r>
        <w:rPr>
          <w:rFonts w:ascii="Times New Roman" w:eastAsia="Times New Roman" w:hAnsi="Times New Roman" w:cs="Times New Roman"/>
          <w:color w:val="222222"/>
          <w:sz w:val="24"/>
          <w:szCs w:val="24"/>
        </w:rPr>
        <w:t xml:space="preserve">, L.A., Bradshaw, C.S., Chen, M.Y. and Chow, E.P., 2018. Patterns of sexual behaviour and sexual healthcare needs among transgender individuals in Melbourne, Australia, 2011–2014. </w:t>
      </w:r>
      <w:r>
        <w:rPr>
          <w:rFonts w:ascii="Times New Roman" w:eastAsia="Times New Roman" w:hAnsi="Times New Roman" w:cs="Times New Roman"/>
          <w:i/>
          <w:color w:val="222222"/>
          <w:sz w:val="24"/>
          <w:szCs w:val="24"/>
        </w:rPr>
        <w:t>Sexually transmitted infections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94</w:t>
      </w:r>
      <w:r>
        <w:rPr>
          <w:rFonts w:ascii="Times New Roman" w:eastAsia="Times New Roman" w:hAnsi="Times New Roman" w:cs="Times New Roman"/>
          <w:color w:val="222222"/>
          <w:sz w:val="24"/>
          <w:szCs w:val="24"/>
        </w:rPr>
        <w:t>(3), pp.212-215. Available at:  &lt;</w:t>
      </w:r>
      <w:hyperlink r:id="rId10">
        <w:r>
          <w:rPr>
            <w:rFonts w:ascii="Times New Roman" w:eastAsia="Times New Roman" w:hAnsi="Times New Roman" w:cs="Times New Roman"/>
            <w:color w:val="1155CC"/>
            <w:sz w:val="24"/>
            <w:szCs w:val="24"/>
            <w:u w:val="single"/>
          </w:rPr>
          <w:t>https://sti.bmj.com/content/94/3/212</w:t>
        </w:r>
      </w:hyperlink>
      <w:r>
        <w:rPr>
          <w:rFonts w:ascii="Times New Roman" w:eastAsia="Times New Roman" w:hAnsi="Times New Roman" w:cs="Times New Roman"/>
          <w:color w:val="1155CC"/>
          <w:sz w:val="24"/>
          <w:szCs w:val="24"/>
          <w:u w:val="single"/>
        </w:rPr>
        <w:t>&gt;</w:t>
      </w:r>
      <w:r>
        <w:rPr>
          <w:rFonts w:ascii="Times New Roman" w:eastAsia="Times New Roman" w:hAnsi="Times New Roman" w:cs="Times New Roman"/>
          <w:color w:val="222222"/>
          <w:sz w:val="24"/>
          <w:szCs w:val="24"/>
        </w:rPr>
        <w:t xml:space="preserve"> [Accessed 24 March 2022].</w:t>
      </w:r>
    </w:p>
    <w:p w14:paraId="6943EFE3" w14:textId="77777777" w:rsidR="00FB67DE" w:rsidRDefault="00000000">
      <w:pPr>
        <w:spacing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222222"/>
          <w:sz w:val="24"/>
          <w:szCs w:val="24"/>
        </w:rPr>
        <w:t xml:space="preserve">Berner, A.M., Webster, R., Hughes, D.J., </w:t>
      </w:r>
      <w:proofErr w:type="spellStart"/>
      <w:r>
        <w:rPr>
          <w:rFonts w:ascii="Times New Roman" w:eastAsia="Times New Roman" w:hAnsi="Times New Roman" w:cs="Times New Roman"/>
          <w:color w:val="222222"/>
          <w:sz w:val="24"/>
          <w:szCs w:val="24"/>
        </w:rPr>
        <w:t>Tharmalingam</w:t>
      </w:r>
      <w:proofErr w:type="spellEnd"/>
      <w:r>
        <w:rPr>
          <w:rFonts w:ascii="Times New Roman" w:eastAsia="Times New Roman" w:hAnsi="Times New Roman" w:cs="Times New Roman"/>
          <w:color w:val="222222"/>
          <w:sz w:val="24"/>
          <w:szCs w:val="24"/>
        </w:rPr>
        <w:t xml:space="preserve">, H. and Saunders, D.J., 2021. Education to improve cancer care for LGBTQ+ patients in the UK </w:t>
      </w:r>
      <w:r>
        <w:rPr>
          <w:rFonts w:ascii="Times New Roman" w:eastAsia="Times New Roman" w:hAnsi="Times New Roman" w:cs="Times New Roman"/>
          <w:i/>
          <w:color w:val="222222"/>
          <w:sz w:val="24"/>
          <w:szCs w:val="24"/>
        </w:rPr>
        <w:t>Clinical Oncology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33</w:t>
      </w:r>
      <w:r>
        <w:rPr>
          <w:rFonts w:ascii="Times New Roman" w:eastAsia="Times New Roman" w:hAnsi="Times New Roman" w:cs="Times New Roman"/>
          <w:color w:val="222222"/>
          <w:sz w:val="24"/>
          <w:szCs w:val="24"/>
        </w:rPr>
        <w:t>(4), pp.270-273.</w:t>
      </w:r>
      <w:hyperlink r:id="rId11">
        <w:r>
          <w:rPr>
            <w:rFonts w:ascii="Times New Roman" w:eastAsia="Times New Roman" w:hAnsi="Times New Roman" w:cs="Times New Roman"/>
            <w:color w:val="1155CC"/>
            <w:sz w:val="24"/>
            <w:szCs w:val="24"/>
            <w:u w:val="single"/>
          </w:rPr>
          <w:t>https://doi.org/10.1016/j.clon.2020.12.012</w:t>
        </w:r>
      </w:hyperlink>
    </w:p>
    <w:p w14:paraId="6E56D8CA" w14:textId="77777777" w:rsidR="00FB67DE" w:rsidRDefault="00000000">
      <w:pPr>
        <w:spacing w:line="360" w:lineRule="auto"/>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color w:val="222222"/>
          <w:sz w:val="24"/>
          <w:szCs w:val="24"/>
        </w:rPr>
        <w:t>Carlile</w:t>
      </w:r>
      <w:proofErr w:type="spellEnd"/>
      <w:r>
        <w:rPr>
          <w:rFonts w:ascii="Times New Roman" w:eastAsia="Times New Roman" w:hAnsi="Times New Roman" w:cs="Times New Roman"/>
          <w:color w:val="222222"/>
          <w:sz w:val="24"/>
          <w:szCs w:val="24"/>
        </w:rPr>
        <w:t xml:space="preserve">, A., 2020. Teacher experiences of LGBTQ-inclusive education in primary schools serving faith communities in England, UK. </w:t>
      </w:r>
      <w:r>
        <w:rPr>
          <w:rFonts w:ascii="Times New Roman" w:eastAsia="Times New Roman" w:hAnsi="Times New Roman" w:cs="Times New Roman"/>
          <w:i/>
          <w:color w:val="222222"/>
          <w:sz w:val="24"/>
          <w:szCs w:val="24"/>
        </w:rPr>
        <w:t>Pedagogy, Culture &amp; Society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28</w:t>
      </w:r>
      <w:r>
        <w:rPr>
          <w:rFonts w:ascii="Times New Roman" w:eastAsia="Times New Roman" w:hAnsi="Times New Roman" w:cs="Times New Roman"/>
          <w:color w:val="222222"/>
          <w:sz w:val="24"/>
          <w:szCs w:val="24"/>
        </w:rPr>
        <w:t>(4), pp.625-644.</w:t>
      </w:r>
      <w:hyperlink r:id="rId12">
        <w:r>
          <w:rPr>
            <w:rFonts w:ascii="Times New Roman" w:eastAsia="Times New Roman" w:hAnsi="Times New Roman" w:cs="Times New Roman"/>
            <w:color w:val="1155CC"/>
            <w:sz w:val="24"/>
            <w:szCs w:val="24"/>
            <w:u w:val="single"/>
          </w:rPr>
          <w:t>https://doi.org/10.1080/14681366.2019.1681496</w:t>
        </w:r>
      </w:hyperlink>
    </w:p>
    <w:p w14:paraId="14C7AADB" w14:textId="77777777" w:rsidR="00FB67DE" w:rsidRDefault="00000000">
      <w:pPr>
        <w:spacing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Epps, B., </w:t>
      </w:r>
      <w:proofErr w:type="spellStart"/>
      <w:r>
        <w:rPr>
          <w:rFonts w:ascii="Times New Roman" w:eastAsia="Times New Roman" w:hAnsi="Times New Roman" w:cs="Times New Roman"/>
          <w:sz w:val="24"/>
          <w:szCs w:val="24"/>
        </w:rPr>
        <w:t>Markowski</w:t>
      </w:r>
      <w:proofErr w:type="spellEnd"/>
      <w:r>
        <w:rPr>
          <w:rFonts w:ascii="Times New Roman" w:eastAsia="Times New Roman" w:hAnsi="Times New Roman" w:cs="Times New Roman"/>
          <w:sz w:val="24"/>
          <w:szCs w:val="24"/>
        </w:rPr>
        <w:t>, M. and Cleaver, K., 2021. A rapid review and narrative synthesis of the consequences of non-inclusive sex education in UK schools on Lesbian, Gay, Bisexual, Transgender and questioning young people. </w:t>
      </w:r>
      <w:r>
        <w:rPr>
          <w:rFonts w:ascii="Times New Roman" w:eastAsia="Times New Roman" w:hAnsi="Times New Roman" w:cs="Times New Roman"/>
          <w:i/>
          <w:sz w:val="24"/>
          <w:szCs w:val="24"/>
        </w:rPr>
        <w:t>The Journal of School Nursing</w:t>
      </w:r>
      <w:r>
        <w:rPr>
          <w:rFonts w:ascii="Times New Roman" w:eastAsia="Times New Roman" w:hAnsi="Times New Roman" w:cs="Times New Roman"/>
          <w:sz w:val="24"/>
          <w:szCs w:val="24"/>
        </w:rPr>
        <w:t xml:space="preserve">, p.10598405211043394. </w:t>
      </w:r>
      <w:hyperlink r:id="rId13">
        <w:r>
          <w:rPr>
            <w:rFonts w:ascii="Times New Roman" w:eastAsia="Times New Roman" w:hAnsi="Times New Roman" w:cs="Times New Roman"/>
            <w:color w:val="0000FF"/>
            <w:sz w:val="24"/>
            <w:szCs w:val="24"/>
            <w:u w:val="single"/>
          </w:rPr>
          <w:t>https://doi.org/</w:t>
        </w:r>
      </w:hyperlink>
      <w:hyperlink r:id="rId14">
        <w:r>
          <w:rPr>
            <w:color w:val="0000FF"/>
            <w:u w:val="single"/>
          </w:rPr>
          <w:t xml:space="preserve"> </w:t>
        </w:r>
      </w:hyperlink>
      <w:hyperlink r:id="rId15">
        <w:r>
          <w:rPr>
            <w:rFonts w:ascii="Times New Roman" w:eastAsia="Times New Roman" w:hAnsi="Times New Roman" w:cs="Times New Roman"/>
            <w:color w:val="0000FF"/>
            <w:sz w:val="24"/>
            <w:szCs w:val="24"/>
            <w:u w:val="single"/>
          </w:rPr>
          <w:t>10.1177/10598405211043394</w:t>
        </w:r>
      </w:hyperlink>
    </w:p>
    <w:p w14:paraId="4AF25592" w14:textId="77777777" w:rsidR="00FB67DE" w:rsidRDefault="00000000">
      <w:pPr>
        <w:spacing w:before="240" w:after="240"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222222"/>
          <w:sz w:val="24"/>
          <w:szCs w:val="24"/>
        </w:rPr>
        <w:t xml:space="preserve">Freeman, J.B., 2020. Measuring and resolving LGBTQ disparities in STEM. </w:t>
      </w:r>
      <w:r>
        <w:rPr>
          <w:rFonts w:ascii="Times New Roman" w:eastAsia="Times New Roman" w:hAnsi="Times New Roman" w:cs="Times New Roman"/>
          <w:i/>
          <w:color w:val="222222"/>
          <w:sz w:val="24"/>
          <w:szCs w:val="24"/>
        </w:rPr>
        <w:t xml:space="preserve">Policy Insights from the </w:t>
      </w:r>
      <w:proofErr w:type="spellStart"/>
      <w:r>
        <w:rPr>
          <w:rFonts w:ascii="Times New Roman" w:eastAsia="Times New Roman" w:hAnsi="Times New Roman" w:cs="Times New Roman"/>
          <w:i/>
          <w:color w:val="222222"/>
          <w:sz w:val="24"/>
          <w:szCs w:val="24"/>
        </w:rPr>
        <w:t>Behavioral</w:t>
      </w:r>
      <w:proofErr w:type="spellEnd"/>
      <w:r>
        <w:rPr>
          <w:rFonts w:ascii="Times New Roman" w:eastAsia="Times New Roman" w:hAnsi="Times New Roman" w:cs="Times New Roman"/>
          <w:i/>
          <w:color w:val="222222"/>
          <w:sz w:val="24"/>
          <w:szCs w:val="24"/>
        </w:rPr>
        <w:t xml:space="preserve"> and Brain Sciences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7</w:t>
      </w:r>
      <w:r>
        <w:rPr>
          <w:rFonts w:ascii="Times New Roman" w:eastAsia="Times New Roman" w:hAnsi="Times New Roman" w:cs="Times New Roman"/>
          <w:color w:val="222222"/>
          <w:sz w:val="24"/>
          <w:szCs w:val="24"/>
        </w:rPr>
        <w:t>(2), pp.141-148.</w:t>
      </w:r>
      <w:hyperlink r:id="rId16">
        <w:r>
          <w:rPr>
            <w:rFonts w:ascii="Times New Roman" w:eastAsia="Times New Roman" w:hAnsi="Times New Roman" w:cs="Times New Roman"/>
            <w:color w:val="222222"/>
            <w:sz w:val="24"/>
            <w:szCs w:val="24"/>
          </w:rPr>
          <w:t xml:space="preserve"> </w:t>
        </w:r>
      </w:hyperlink>
      <w:hyperlink r:id="rId17">
        <w:r>
          <w:rPr>
            <w:rFonts w:ascii="Times New Roman" w:eastAsia="Times New Roman" w:hAnsi="Times New Roman" w:cs="Times New Roman"/>
            <w:color w:val="1155CC"/>
            <w:sz w:val="24"/>
            <w:szCs w:val="24"/>
            <w:u w:val="single"/>
          </w:rPr>
          <w:t>https://doi.org/10.1177/2372732220943232</w:t>
        </w:r>
      </w:hyperlink>
    </w:p>
    <w:p w14:paraId="4DC99CDA" w14:textId="77777777" w:rsidR="00FB67DE" w:rsidRDefault="00000000">
      <w:pPr>
        <w:spacing w:line="360" w:lineRule="auto"/>
        <w:jc w:val="both"/>
        <w:rPr>
          <w:rFonts w:ascii="Times New Roman" w:eastAsia="Times New Roman" w:hAnsi="Times New Roman" w:cs="Times New Roman"/>
          <w:color w:val="1155CC"/>
          <w:sz w:val="24"/>
          <w:szCs w:val="24"/>
          <w:u w:val="single"/>
        </w:rPr>
      </w:pPr>
      <w:bookmarkStart w:id="6" w:name="_3dy6vkm" w:colFirst="0" w:colLast="0"/>
      <w:bookmarkEnd w:id="6"/>
      <w:r>
        <w:rPr>
          <w:rFonts w:ascii="Times New Roman" w:eastAsia="Times New Roman" w:hAnsi="Times New Roman" w:cs="Times New Roman"/>
          <w:color w:val="222222"/>
          <w:sz w:val="24"/>
          <w:szCs w:val="24"/>
        </w:rPr>
        <w:t xml:space="preserve">George, A.A., 2021. Social and cultural influences and their implications for sustainable tourism: A case study of Trinidad &amp; Tobago's tourism and the growth of the LGBTQ </w:t>
      </w:r>
      <w:proofErr w:type="spellStart"/>
      <w:r>
        <w:rPr>
          <w:rFonts w:ascii="Times New Roman" w:eastAsia="Times New Roman" w:hAnsi="Times New Roman" w:cs="Times New Roman"/>
          <w:color w:val="222222"/>
          <w:sz w:val="24"/>
          <w:szCs w:val="24"/>
        </w:rPr>
        <w:t>traveler</w:t>
      </w:r>
      <w:proofErr w:type="spellEnd"/>
      <w:r>
        <w:rPr>
          <w:rFonts w:ascii="Times New Roman" w:eastAsia="Times New Roman" w:hAnsi="Times New Roman" w:cs="Times New Roman"/>
          <w:color w:val="222222"/>
          <w:sz w:val="24"/>
          <w:szCs w:val="24"/>
        </w:rPr>
        <w:t xml:space="preserve"> segment. </w:t>
      </w:r>
      <w:r>
        <w:rPr>
          <w:rFonts w:ascii="Times New Roman" w:eastAsia="Times New Roman" w:hAnsi="Times New Roman" w:cs="Times New Roman"/>
          <w:i/>
          <w:color w:val="222222"/>
          <w:sz w:val="24"/>
          <w:szCs w:val="24"/>
        </w:rPr>
        <w:t>Journal of Sustainable Tourism and Entrepreneurship</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w:t>
      </w:r>
      <w:r>
        <w:rPr>
          <w:rFonts w:ascii="Times New Roman" w:eastAsia="Times New Roman" w:hAnsi="Times New Roman" w:cs="Times New Roman"/>
          <w:color w:val="222222"/>
          <w:sz w:val="24"/>
          <w:szCs w:val="24"/>
        </w:rPr>
        <w:t>(3), pp.147-157.</w:t>
      </w:r>
      <w:hyperlink r:id="rId18">
        <w:r>
          <w:rPr>
            <w:rFonts w:ascii="Times New Roman" w:eastAsia="Times New Roman" w:hAnsi="Times New Roman" w:cs="Times New Roman"/>
            <w:color w:val="1155CC"/>
            <w:sz w:val="24"/>
            <w:szCs w:val="24"/>
            <w:u w:val="single"/>
          </w:rPr>
          <w:t>https://doi.org/10.35912/joste.v2i3.554</w:t>
        </w:r>
      </w:hyperlink>
    </w:p>
    <w:p w14:paraId="4A9336BB" w14:textId="77777777" w:rsidR="00FB67DE" w:rsidRDefault="00000000">
      <w:pPr>
        <w:spacing w:before="240" w:after="24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Huang, W., 2021, June. Analysis on Depression Among LGBTQ Population. In </w:t>
      </w:r>
      <w:r>
        <w:rPr>
          <w:rFonts w:ascii="Times New Roman" w:eastAsia="Times New Roman" w:hAnsi="Times New Roman" w:cs="Times New Roman"/>
          <w:i/>
          <w:color w:val="222222"/>
          <w:sz w:val="24"/>
          <w:szCs w:val="24"/>
        </w:rPr>
        <w:t>2021 2nd International Conference on Mental Health and Humanities Education (ICMHHE 2021)</w:t>
      </w:r>
      <w:r>
        <w:rPr>
          <w:rFonts w:ascii="Times New Roman" w:eastAsia="Times New Roman" w:hAnsi="Times New Roman" w:cs="Times New Roman"/>
          <w:color w:val="222222"/>
          <w:sz w:val="24"/>
          <w:szCs w:val="24"/>
        </w:rPr>
        <w:t xml:space="preserve"> (pp. 295-298). Atlantis Press. Available at:</w:t>
      </w:r>
      <w:hyperlink r:id="rId19">
        <w:r>
          <w:rPr>
            <w:rFonts w:ascii="Times New Roman" w:eastAsia="Times New Roman" w:hAnsi="Times New Roman" w:cs="Times New Roman"/>
            <w:color w:val="222222"/>
            <w:sz w:val="24"/>
            <w:szCs w:val="24"/>
          </w:rPr>
          <w:t xml:space="preserve"> </w:t>
        </w:r>
      </w:hyperlink>
      <w:r>
        <w:rPr>
          <w:rFonts w:ascii="Times New Roman" w:eastAsia="Times New Roman" w:hAnsi="Times New Roman" w:cs="Times New Roman"/>
          <w:color w:val="222222"/>
          <w:sz w:val="24"/>
          <w:szCs w:val="24"/>
        </w:rPr>
        <w:t>&lt;</w:t>
      </w:r>
      <w:hyperlink r:id="rId20">
        <w:r>
          <w:rPr>
            <w:rFonts w:ascii="Times New Roman" w:eastAsia="Times New Roman" w:hAnsi="Times New Roman" w:cs="Times New Roman"/>
            <w:color w:val="1155CC"/>
            <w:sz w:val="24"/>
            <w:szCs w:val="24"/>
            <w:u w:val="single"/>
          </w:rPr>
          <w:t>https://www.atlantis-press.com/article/125958055.pdf</w:t>
        </w:r>
      </w:hyperlink>
      <w:r>
        <w:rPr>
          <w:rFonts w:ascii="Times New Roman" w:eastAsia="Times New Roman" w:hAnsi="Times New Roman" w:cs="Times New Roman"/>
          <w:color w:val="1155CC"/>
          <w:sz w:val="24"/>
          <w:szCs w:val="24"/>
          <w:u w:val="single"/>
        </w:rPr>
        <w:t>&gt;</w:t>
      </w:r>
      <w:r>
        <w:rPr>
          <w:rFonts w:ascii="Times New Roman" w:eastAsia="Times New Roman" w:hAnsi="Times New Roman" w:cs="Times New Roman"/>
          <w:color w:val="222222"/>
          <w:sz w:val="24"/>
          <w:szCs w:val="24"/>
        </w:rPr>
        <w:t xml:space="preserve"> [ Accessed 2 April 2022]</w:t>
      </w:r>
    </w:p>
    <w:p w14:paraId="0CA76E1E" w14:textId="77777777" w:rsidR="00FB67DE" w:rsidRDefault="00000000">
      <w:pPr>
        <w:spacing w:before="240" w:after="240" w:line="360" w:lineRule="auto"/>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color w:val="222222"/>
          <w:sz w:val="24"/>
          <w:szCs w:val="24"/>
        </w:rPr>
        <w:t>Huchting</w:t>
      </w:r>
      <w:proofErr w:type="spellEnd"/>
      <w:r>
        <w:rPr>
          <w:rFonts w:ascii="Times New Roman" w:eastAsia="Times New Roman" w:hAnsi="Times New Roman" w:cs="Times New Roman"/>
          <w:color w:val="222222"/>
          <w:sz w:val="24"/>
          <w:szCs w:val="24"/>
        </w:rPr>
        <w:t xml:space="preserve">, K. and Fisher, E., 2019. Introduction to the special issue: The challenges and opportunities of including the LGBTQ community in Catholic education. </w:t>
      </w:r>
      <w:r>
        <w:rPr>
          <w:rFonts w:ascii="Times New Roman" w:eastAsia="Times New Roman" w:hAnsi="Times New Roman" w:cs="Times New Roman"/>
          <w:i/>
          <w:color w:val="222222"/>
          <w:sz w:val="24"/>
          <w:szCs w:val="24"/>
        </w:rPr>
        <w:t>Journal of Catholic Education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22</w:t>
      </w:r>
      <w:r>
        <w:rPr>
          <w:rFonts w:ascii="Times New Roman" w:eastAsia="Times New Roman" w:hAnsi="Times New Roman" w:cs="Times New Roman"/>
          <w:color w:val="222222"/>
          <w:sz w:val="24"/>
          <w:szCs w:val="24"/>
        </w:rPr>
        <w:t>(3), pp.1-13.</w:t>
      </w:r>
      <w:hyperlink r:id="rId21">
        <w:r>
          <w:rPr>
            <w:rFonts w:ascii="Times New Roman" w:eastAsia="Times New Roman" w:hAnsi="Times New Roman" w:cs="Times New Roman"/>
            <w:color w:val="222222"/>
            <w:sz w:val="24"/>
            <w:szCs w:val="24"/>
          </w:rPr>
          <w:t xml:space="preserve"> </w:t>
        </w:r>
      </w:hyperlink>
      <w:hyperlink r:id="rId22">
        <w:r>
          <w:rPr>
            <w:rFonts w:ascii="Times New Roman" w:eastAsia="Times New Roman" w:hAnsi="Times New Roman" w:cs="Times New Roman"/>
            <w:color w:val="1155CC"/>
            <w:sz w:val="24"/>
            <w:szCs w:val="24"/>
            <w:u w:val="single"/>
          </w:rPr>
          <w:t>http://dx.doi.org/10.15365/joce.2203012019</w:t>
        </w:r>
      </w:hyperlink>
    </w:p>
    <w:p w14:paraId="0E3821A2" w14:textId="77777777" w:rsidR="00FB67DE" w:rsidRDefault="00000000">
      <w:pPr>
        <w:spacing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Hünefeld</w:t>
      </w:r>
      <w:proofErr w:type="spellEnd"/>
      <w:r>
        <w:rPr>
          <w:rFonts w:ascii="Times New Roman" w:eastAsia="Times New Roman" w:hAnsi="Times New Roman" w:cs="Times New Roman"/>
          <w:color w:val="222222"/>
          <w:sz w:val="24"/>
          <w:szCs w:val="24"/>
        </w:rPr>
        <w:t xml:space="preserve">, L., </w:t>
      </w:r>
      <w:proofErr w:type="spellStart"/>
      <w:r>
        <w:rPr>
          <w:rFonts w:ascii="Times New Roman" w:eastAsia="Times New Roman" w:hAnsi="Times New Roman" w:cs="Times New Roman"/>
          <w:color w:val="222222"/>
          <w:sz w:val="24"/>
          <w:szCs w:val="24"/>
        </w:rPr>
        <w:t>Gerstenberg</w:t>
      </w:r>
      <w:proofErr w:type="spellEnd"/>
      <w:r>
        <w:rPr>
          <w:rFonts w:ascii="Times New Roman" w:eastAsia="Times New Roman" w:hAnsi="Times New Roman" w:cs="Times New Roman"/>
          <w:color w:val="222222"/>
          <w:sz w:val="24"/>
          <w:szCs w:val="24"/>
        </w:rPr>
        <w:t xml:space="preserve">, S. and </w:t>
      </w:r>
      <w:proofErr w:type="spellStart"/>
      <w:r>
        <w:rPr>
          <w:rFonts w:ascii="Times New Roman" w:eastAsia="Times New Roman" w:hAnsi="Times New Roman" w:cs="Times New Roman"/>
          <w:color w:val="222222"/>
          <w:sz w:val="24"/>
          <w:szCs w:val="24"/>
        </w:rPr>
        <w:t>Hüffmeier</w:t>
      </w:r>
      <w:proofErr w:type="spellEnd"/>
      <w:r>
        <w:rPr>
          <w:rFonts w:ascii="Times New Roman" w:eastAsia="Times New Roman" w:hAnsi="Times New Roman" w:cs="Times New Roman"/>
          <w:color w:val="222222"/>
          <w:sz w:val="24"/>
          <w:szCs w:val="24"/>
        </w:rPr>
        <w:t>, J., 2020. Job satisfaction and mental health of temporary agency workers in Europe: a systematic review and research agenda. </w:t>
      </w:r>
      <w:r>
        <w:rPr>
          <w:rFonts w:ascii="Times New Roman" w:eastAsia="Times New Roman" w:hAnsi="Times New Roman" w:cs="Times New Roman"/>
          <w:i/>
          <w:color w:val="222222"/>
          <w:sz w:val="24"/>
          <w:szCs w:val="24"/>
        </w:rPr>
        <w:t>Work &amp; Stress</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34</w:t>
      </w:r>
      <w:r>
        <w:rPr>
          <w:rFonts w:ascii="Times New Roman" w:eastAsia="Times New Roman" w:hAnsi="Times New Roman" w:cs="Times New Roman"/>
          <w:color w:val="222222"/>
          <w:sz w:val="24"/>
          <w:szCs w:val="24"/>
        </w:rPr>
        <w:t xml:space="preserve">(1), pp.82-110. </w:t>
      </w:r>
      <w:hyperlink r:id="rId23">
        <w:r>
          <w:rPr>
            <w:rFonts w:ascii="Times New Roman" w:eastAsia="Times New Roman" w:hAnsi="Times New Roman" w:cs="Times New Roman"/>
            <w:color w:val="0000FF"/>
            <w:sz w:val="24"/>
            <w:szCs w:val="24"/>
            <w:u w:val="single"/>
          </w:rPr>
          <w:t>https://doi.org/10.1080/02678373.2019.1567619</w:t>
        </w:r>
      </w:hyperlink>
    </w:p>
    <w:p w14:paraId="1A6F0830" w14:textId="77777777" w:rsidR="00FB67DE" w:rsidRDefault="00000000">
      <w:pPr>
        <w:spacing w:line="360" w:lineRule="auto"/>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color w:val="222222"/>
          <w:sz w:val="24"/>
          <w:szCs w:val="24"/>
        </w:rPr>
        <w:t>Kneale</w:t>
      </w:r>
      <w:proofErr w:type="spellEnd"/>
      <w:r>
        <w:rPr>
          <w:rFonts w:ascii="Times New Roman" w:eastAsia="Times New Roman" w:hAnsi="Times New Roman" w:cs="Times New Roman"/>
          <w:color w:val="222222"/>
          <w:sz w:val="24"/>
          <w:szCs w:val="24"/>
        </w:rPr>
        <w:t xml:space="preserve">, D. and </w:t>
      </w:r>
      <w:proofErr w:type="spellStart"/>
      <w:r>
        <w:rPr>
          <w:rFonts w:ascii="Times New Roman" w:eastAsia="Times New Roman" w:hAnsi="Times New Roman" w:cs="Times New Roman"/>
          <w:color w:val="222222"/>
          <w:sz w:val="24"/>
          <w:szCs w:val="24"/>
        </w:rPr>
        <w:t>Becares</w:t>
      </w:r>
      <w:proofErr w:type="spellEnd"/>
      <w:r>
        <w:rPr>
          <w:rFonts w:ascii="Times New Roman" w:eastAsia="Times New Roman" w:hAnsi="Times New Roman" w:cs="Times New Roman"/>
          <w:color w:val="222222"/>
          <w:sz w:val="24"/>
          <w:szCs w:val="24"/>
        </w:rPr>
        <w:t xml:space="preserve">, L., 2020. The mental health and experiences of discrimination of LGBTQ+ people during the COVID-19 pandemic: initial findings from the </w:t>
      </w:r>
      <w:proofErr w:type="spellStart"/>
      <w:r>
        <w:rPr>
          <w:rFonts w:ascii="Times New Roman" w:eastAsia="Times New Roman" w:hAnsi="Times New Roman" w:cs="Times New Roman"/>
          <w:color w:val="222222"/>
          <w:sz w:val="24"/>
          <w:szCs w:val="24"/>
        </w:rPr>
        <w:t>Queerantine</w:t>
      </w:r>
      <w:proofErr w:type="spellEnd"/>
      <w:r>
        <w:rPr>
          <w:rFonts w:ascii="Times New Roman" w:eastAsia="Times New Roman" w:hAnsi="Times New Roman" w:cs="Times New Roman"/>
          <w:color w:val="222222"/>
          <w:sz w:val="24"/>
          <w:szCs w:val="24"/>
        </w:rPr>
        <w:t xml:space="preserve"> study. </w:t>
      </w:r>
      <w:proofErr w:type="spellStart"/>
      <w:r>
        <w:rPr>
          <w:rFonts w:ascii="Times New Roman" w:eastAsia="Times New Roman" w:hAnsi="Times New Roman" w:cs="Times New Roman"/>
          <w:i/>
          <w:color w:val="222222"/>
          <w:sz w:val="24"/>
          <w:szCs w:val="24"/>
        </w:rPr>
        <w:t>MedRxiv</w:t>
      </w:r>
      <w:r>
        <w:rPr>
          <w:rFonts w:ascii="Times New Roman" w:eastAsia="Times New Roman" w:hAnsi="Times New Roman" w:cs="Times New Roman"/>
          <w:color w:val="222222"/>
          <w:sz w:val="24"/>
          <w:szCs w:val="24"/>
        </w:rPr>
        <w:t>.</w:t>
      </w:r>
      <w:hyperlink r:id="rId24">
        <w:r>
          <w:rPr>
            <w:rFonts w:ascii="Times New Roman" w:eastAsia="Times New Roman" w:hAnsi="Times New Roman" w:cs="Times New Roman"/>
            <w:color w:val="1155CC"/>
            <w:sz w:val="24"/>
            <w:szCs w:val="24"/>
            <w:u w:val="single"/>
          </w:rPr>
          <w:t>https</w:t>
        </w:r>
        <w:proofErr w:type="spellEnd"/>
        <w:r>
          <w:rPr>
            <w:rFonts w:ascii="Times New Roman" w:eastAsia="Times New Roman" w:hAnsi="Times New Roman" w:cs="Times New Roman"/>
            <w:color w:val="1155CC"/>
            <w:sz w:val="24"/>
            <w:szCs w:val="24"/>
            <w:u w:val="single"/>
          </w:rPr>
          <w:t>://doi.org/10.1101/2020.08.03.20167403</w:t>
        </w:r>
      </w:hyperlink>
    </w:p>
    <w:p w14:paraId="3099E617" w14:textId="77777777" w:rsidR="00FB67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Kohler, M., Ott, S., Mullis, J., Mayer, H., Kesselring, J. and </w:t>
      </w:r>
      <w:proofErr w:type="spellStart"/>
      <w:r>
        <w:rPr>
          <w:rFonts w:ascii="Times New Roman" w:eastAsia="Times New Roman" w:hAnsi="Times New Roman" w:cs="Times New Roman"/>
          <w:sz w:val="24"/>
          <w:szCs w:val="24"/>
        </w:rPr>
        <w:t>Saxer</w:t>
      </w:r>
      <w:proofErr w:type="spellEnd"/>
      <w:r>
        <w:rPr>
          <w:rFonts w:ascii="Times New Roman" w:eastAsia="Times New Roman" w:hAnsi="Times New Roman" w:cs="Times New Roman"/>
          <w:sz w:val="24"/>
          <w:szCs w:val="24"/>
        </w:rPr>
        <w:t>, S., 2022. Promoting urinary continence in people suffering a stroke: Effectiveness of a complex intervention—An intervention study. </w:t>
      </w:r>
      <w:r>
        <w:rPr>
          <w:rFonts w:ascii="Times New Roman" w:eastAsia="Times New Roman" w:hAnsi="Times New Roman" w:cs="Times New Roman"/>
          <w:i/>
          <w:sz w:val="24"/>
          <w:szCs w:val="24"/>
        </w:rPr>
        <w:t>Nursing Open</w:t>
      </w:r>
      <w:r>
        <w:rPr>
          <w:rFonts w:ascii="Times New Roman" w:eastAsia="Times New Roman" w:hAnsi="Times New Roman" w:cs="Times New Roman"/>
          <w:sz w:val="24"/>
          <w:szCs w:val="24"/>
        </w:rPr>
        <w:t xml:space="preserve">. </w:t>
      </w:r>
      <w:hyperlink r:id="rId25">
        <w:r>
          <w:rPr>
            <w:rFonts w:ascii="Times New Roman" w:eastAsia="Times New Roman" w:hAnsi="Times New Roman" w:cs="Times New Roman"/>
            <w:color w:val="0000FF"/>
            <w:sz w:val="24"/>
            <w:szCs w:val="24"/>
            <w:u w:val="single"/>
          </w:rPr>
          <w:t>https://doi.org/</w:t>
        </w:r>
      </w:hyperlink>
      <w:hyperlink r:id="rId26">
        <w:r>
          <w:rPr>
            <w:color w:val="0000FF"/>
            <w:u w:val="single"/>
          </w:rPr>
          <w:t xml:space="preserve"> </w:t>
        </w:r>
      </w:hyperlink>
      <w:hyperlink r:id="rId27">
        <w:r>
          <w:rPr>
            <w:rFonts w:ascii="Times New Roman" w:eastAsia="Times New Roman" w:hAnsi="Times New Roman" w:cs="Times New Roman"/>
            <w:color w:val="0000FF"/>
            <w:sz w:val="24"/>
            <w:szCs w:val="24"/>
            <w:u w:val="single"/>
          </w:rPr>
          <w:t>10.1002/nop2.1166</w:t>
        </w:r>
      </w:hyperlink>
    </w:p>
    <w:p w14:paraId="1B1CD33B" w14:textId="77777777" w:rsidR="00FB67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Lambert, A.S., Legrand, C., </w:t>
      </w:r>
      <w:proofErr w:type="spellStart"/>
      <w:r>
        <w:rPr>
          <w:rFonts w:ascii="Times New Roman" w:eastAsia="Times New Roman" w:hAnsi="Times New Roman" w:cs="Times New Roman"/>
          <w:sz w:val="24"/>
          <w:szCs w:val="24"/>
        </w:rPr>
        <w:t>Cès</w:t>
      </w:r>
      <w:proofErr w:type="spellEnd"/>
      <w:r>
        <w:rPr>
          <w:rFonts w:ascii="Times New Roman" w:eastAsia="Times New Roman" w:hAnsi="Times New Roman" w:cs="Times New Roman"/>
          <w:sz w:val="24"/>
          <w:szCs w:val="24"/>
        </w:rPr>
        <w:t xml:space="preserve">, S., Van </w:t>
      </w:r>
      <w:proofErr w:type="spellStart"/>
      <w:r>
        <w:rPr>
          <w:rFonts w:ascii="Times New Roman" w:eastAsia="Times New Roman" w:hAnsi="Times New Roman" w:cs="Times New Roman"/>
          <w:sz w:val="24"/>
          <w:szCs w:val="24"/>
        </w:rPr>
        <w:t>Durme</w:t>
      </w:r>
      <w:proofErr w:type="spellEnd"/>
      <w:r>
        <w:rPr>
          <w:rFonts w:ascii="Times New Roman" w:eastAsia="Times New Roman" w:hAnsi="Times New Roman" w:cs="Times New Roman"/>
          <w:sz w:val="24"/>
          <w:szCs w:val="24"/>
        </w:rPr>
        <w:t>, T. and Macq, J., 2019. Evaluating case management as a complex intervention: Lessons for the future.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 xml:space="preserve">(10), p.e0224286. </w:t>
      </w:r>
      <w:hyperlink r:id="rId28">
        <w:r>
          <w:rPr>
            <w:rFonts w:ascii="Times New Roman" w:eastAsia="Times New Roman" w:hAnsi="Times New Roman" w:cs="Times New Roman"/>
            <w:color w:val="0000FF"/>
            <w:sz w:val="24"/>
            <w:szCs w:val="24"/>
            <w:u w:val="single"/>
          </w:rPr>
          <w:t>https://doi.org/10.1371/journal.pone.0224286</w:t>
        </w:r>
      </w:hyperlink>
      <w:r>
        <w:rPr>
          <w:rFonts w:ascii="Times New Roman" w:eastAsia="Times New Roman" w:hAnsi="Times New Roman" w:cs="Times New Roman"/>
          <w:sz w:val="24"/>
          <w:szCs w:val="24"/>
        </w:rPr>
        <w:t xml:space="preserve"> </w:t>
      </w:r>
    </w:p>
    <w:p w14:paraId="3BE02DDD" w14:textId="77777777" w:rsidR="00FB67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Lawton, A.J., 2018. LGBTQ-Inclusive Hospice and Palliative Care: A Practical Guide to Transforming Professional Practice. </w:t>
      </w:r>
      <w:r>
        <w:rPr>
          <w:rFonts w:ascii="Times New Roman" w:eastAsia="Times New Roman" w:hAnsi="Times New Roman" w:cs="Times New Roman"/>
          <w:i/>
          <w:sz w:val="24"/>
          <w:szCs w:val="24"/>
        </w:rPr>
        <w:t>Journal of Palliative Medicine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(1), pp.114-115. </w:t>
      </w:r>
      <w:hyperlink r:id="rId29">
        <w:r>
          <w:rPr>
            <w:rFonts w:ascii="Times New Roman" w:eastAsia="Times New Roman" w:hAnsi="Times New Roman" w:cs="Times New Roman"/>
            <w:color w:val="0000FF"/>
            <w:sz w:val="24"/>
            <w:szCs w:val="24"/>
            <w:u w:val="single"/>
          </w:rPr>
          <w:t>https://doi.org/10.1089/jpm.2017.0544</w:t>
        </w:r>
      </w:hyperlink>
      <w:r>
        <w:rPr>
          <w:rFonts w:ascii="Times New Roman" w:eastAsia="Times New Roman" w:hAnsi="Times New Roman" w:cs="Times New Roman"/>
          <w:sz w:val="24"/>
          <w:szCs w:val="24"/>
        </w:rPr>
        <w:t xml:space="preserve"> </w:t>
      </w:r>
    </w:p>
    <w:p w14:paraId="224C504D" w14:textId="77777777" w:rsidR="00FB67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Maine, A., 2022. Perceptions of Violence and the Self-Regulation of Identity for LGBTQ People in the UK. </w:t>
      </w:r>
      <w:r>
        <w:rPr>
          <w:rFonts w:ascii="Times New Roman" w:eastAsia="Times New Roman" w:hAnsi="Times New Roman" w:cs="Times New Roman"/>
          <w:i/>
          <w:sz w:val="24"/>
          <w:szCs w:val="24"/>
        </w:rPr>
        <w:t>The Journal of Criminal Law</w:t>
      </w:r>
      <w:r>
        <w:rPr>
          <w:rFonts w:ascii="Times New Roman" w:eastAsia="Times New Roman" w:hAnsi="Times New Roman" w:cs="Times New Roman"/>
          <w:sz w:val="24"/>
          <w:szCs w:val="24"/>
        </w:rPr>
        <w:t xml:space="preserve">, p.00220183221086384. </w:t>
      </w:r>
      <w:hyperlink r:id="rId30">
        <w:r>
          <w:rPr>
            <w:rFonts w:ascii="Times New Roman" w:eastAsia="Times New Roman" w:hAnsi="Times New Roman" w:cs="Times New Roman"/>
            <w:color w:val="0000FF"/>
            <w:sz w:val="24"/>
            <w:szCs w:val="24"/>
            <w:u w:val="single"/>
          </w:rPr>
          <w:t>https://doi.org/10.1177/00220183221086384</w:t>
        </w:r>
      </w:hyperlink>
    </w:p>
    <w:p w14:paraId="64B16BB8" w14:textId="77777777" w:rsidR="00FB67DE" w:rsidRDefault="00000000">
      <w:pPr>
        <w:spacing w:before="240" w:after="240"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222222"/>
          <w:sz w:val="24"/>
          <w:szCs w:val="24"/>
        </w:rPr>
        <w:t xml:space="preserve">Mishima, S., Arakawa, N., Bates, I. and Smith, F., 2022. Opportunities to demonstrate expertise and job satisfaction of community pharmacists in Japan and England. </w:t>
      </w:r>
      <w:r>
        <w:rPr>
          <w:rFonts w:ascii="Times New Roman" w:eastAsia="Times New Roman" w:hAnsi="Times New Roman" w:cs="Times New Roman"/>
          <w:i/>
          <w:color w:val="222222"/>
          <w:sz w:val="24"/>
          <w:szCs w:val="24"/>
        </w:rPr>
        <w:t>International Journal of Healthcare Management</w:t>
      </w:r>
      <w:r>
        <w:rPr>
          <w:rFonts w:ascii="Times New Roman" w:eastAsia="Times New Roman" w:hAnsi="Times New Roman" w:cs="Times New Roman"/>
          <w:color w:val="222222"/>
          <w:sz w:val="24"/>
          <w:szCs w:val="24"/>
        </w:rPr>
        <w:t>, pp.1-8.</w:t>
      </w:r>
      <w:hyperlink r:id="rId31">
        <w:r>
          <w:rPr>
            <w:rFonts w:ascii="Times New Roman" w:eastAsia="Times New Roman" w:hAnsi="Times New Roman" w:cs="Times New Roman"/>
            <w:color w:val="222222"/>
            <w:sz w:val="24"/>
            <w:szCs w:val="24"/>
          </w:rPr>
          <w:t xml:space="preserve"> </w:t>
        </w:r>
      </w:hyperlink>
      <w:hyperlink r:id="rId32">
        <w:r>
          <w:rPr>
            <w:rFonts w:ascii="Times New Roman" w:eastAsia="Times New Roman" w:hAnsi="Times New Roman" w:cs="Times New Roman"/>
            <w:color w:val="1155CC"/>
            <w:sz w:val="24"/>
            <w:szCs w:val="24"/>
            <w:u w:val="single"/>
          </w:rPr>
          <w:t>https://doi.org/10.1080/20479700.2022.2029261</w:t>
        </w:r>
      </w:hyperlink>
    </w:p>
    <w:p w14:paraId="057E5235" w14:textId="77777777" w:rsidR="00FB67DE" w:rsidRDefault="00000000">
      <w:pPr>
        <w:spacing w:before="240" w:after="240" w:line="360" w:lineRule="auto"/>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color w:val="222222"/>
          <w:sz w:val="24"/>
          <w:szCs w:val="24"/>
        </w:rPr>
        <w:t>Nowaskie</w:t>
      </w:r>
      <w:proofErr w:type="spellEnd"/>
      <w:r>
        <w:rPr>
          <w:rFonts w:ascii="Times New Roman" w:eastAsia="Times New Roman" w:hAnsi="Times New Roman" w:cs="Times New Roman"/>
          <w:color w:val="222222"/>
          <w:sz w:val="24"/>
          <w:szCs w:val="24"/>
        </w:rPr>
        <w:t xml:space="preserve">, D.Z. and </w:t>
      </w:r>
      <w:proofErr w:type="spellStart"/>
      <w:r>
        <w:rPr>
          <w:rFonts w:ascii="Times New Roman" w:eastAsia="Times New Roman" w:hAnsi="Times New Roman" w:cs="Times New Roman"/>
          <w:color w:val="222222"/>
          <w:sz w:val="24"/>
          <w:szCs w:val="24"/>
        </w:rPr>
        <w:t>Sowinski</w:t>
      </w:r>
      <w:proofErr w:type="spellEnd"/>
      <w:r>
        <w:rPr>
          <w:rFonts w:ascii="Times New Roman" w:eastAsia="Times New Roman" w:hAnsi="Times New Roman" w:cs="Times New Roman"/>
          <w:color w:val="222222"/>
          <w:sz w:val="24"/>
          <w:szCs w:val="24"/>
        </w:rPr>
        <w:t xml:space="preserve">, J.S., 2018. Primary care providers’ attitudes, practices, and knowledge in treating LGBTQ communities. </w:t>
      </w:r>
      <w:r>
        <w:rPr>
          <w:rFonts w:ascii="Times New Roman" w:eastAsia="Times New Roman" w:hAnsi="Times New Roman" w:cs="Times New Roman"/>
          <w:i/>
          <w:color w:val="222222"/>
          <w:sz w:val="24"/>
          <w:szCs w:val="24"/>
        </w:rPr>
        <w:t>Journal of Homosexuality</w:t>
      </w:r>
      <w:r>
        <w:rPr>
          <w:rFonts w:ascii="Times New Roman" w:eastAsia="Times New Roman" w:hAnsi="Times New Roman" w:cs="Times New Roman"/>
          <w:color w:val="222222"/>
          <w:sz w:val="24"/>
          <w:szCs w:val="24"/>
        </w:rPr>
        <w:t>.</w:t>
      </w:r>
      <w:hyperlink r:id="rId33">
        <w:r>
          <w:rPr>
            <w:rFonts w:ascii="Times New Roman" w:eastAsia="Times New Roman" w:hAnsi="Times New Roman" w:cs="Times New Roman"/>
            <w:color w:val="222222"/>
            <w:sz w:val="24"/>
            <w:szCs w:val="24"/>
          </w:rPr>
          <w:t xml:space="preserve"> </w:t>
        </w:r>
      </w:hyperlink>
      <w:hyperlink r:id="rId34">
        <w:r>
          <w:rPr>
            <w:rFonts w:ascii="Times New Roman" w:eastAsia="Times New Roman" w:hAnsi="Times New Roman" w:cs="Times New Roman"/>
            <w:color w:val="1155CC"/>
            <w:sz w:val="24"/>
            <w:szCs w:val="24"/>
            <w:u w:val="single"/>
          </w:rPr>
          <w:t>https://doi.org/10.1080/00918369.2018.1519304</w:t>
        </w:r>
      </w:hyperlink>
    </w:p>
    <w:p w14:paraId="5A245EFE" w14:textId="77777777" w:rsidR="00FB67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Paneth, N. and Joyner, M., 2021. The use of observational research to inform clinical practice. </w:t>
      </w:r>
      <w:r>
        <w:rPr>
          <w:rFonts w:ascii="Times New Roman" w:eastAsia="Times New Roman" w:hAnsi="Times New Roman" w:cs="Times New Roman"/>
          <w:i/>
          <w:sz w:val="24"/>
          <w:szCs w:val="24"/>
        </w:rPr>
        <w:t>The Journal of Clinical Investigation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131</w:t>
      </w:r>
      <w:r>
        <w:rPr>
          <w:rFonts w:ascii="Times New Roman" w:eastAsia="Times New Roman" w:hAnsi="Times New Roman" w:cs="Times New Roman"/>
          <w:sz w:val="24"/>
          <w:szCs w:val="24"/>
        </w:rPr>
        <w:t xml:space="preserve">(2). </w:t>
      </w:r>
      <w:hyperlink r:id="rId35">
        <w:r>
          <w:rPr>
            <w:rFonts w:ascii="Times New Roman" w:eastAsia="Times New Roman" w:hAnsi="Times New Roman" w:cs="Times New Roman"/>
            <w:color w:val="0000FF"/>
            <w:sz w:val="24"/>
            <w:szCs w:val="24"/>
            <w:u w:val="single"/>
          </w:rPr>
          <w:t>https://doi.org/10.1172/JCI146392</w:t>
        </w:r>
      </w:hyperlink>
      <w:r>
        <w:rPr>
          <w:rFonts w:ascii="Times New Roman" w:eastAsia="Times New Roman" w:hAnsi="Times New Roman" w:cs="Times New Roman"/>
          <w:sz w:val="24"/>
          <w:szCs w:val="24"/>
        </w:rPr>
        <w:t xml:space="preserve"> </w:t>
      </w:r>
    </w:p>
    <w:p w14:paraId="405D28C4" w14:textId="77777777" w:rsidR="00FB67DE"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Patel, S., 2019. “Brown girls can’t be gay”: Racism experienced by queer South Asian women in the Toronto LGBTQ community. </w:t>
      </w:r>
      <w:r>
        <w:rPr>
          <w:rFonts w:ascii="Times New Roman" w:eastAsia="Times New Roman" w:hAnsi="Times New Roman" w:cs="Times New Roman"/>
          <w:i/>
          <w:color w:val="222222"/>
          <w:sz w:val="24"/>
          <w:szCs w:val="24"/>
        </w:rPr>
        <w:t>Journal of lesbian studies</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23</w:t>
      </w:r>
      <w:r>
        <w:rPr>
          <w:rFonts w:ascii="Times New Roman" w:eastAsia="Times New Roman" w:hAnsi="Times New Roman" w:cs="Times New Roman"/>
          <w:color w:val="222222"/>
          <w:sz w:val="24"/>
          <w:szCs w:val="24"/>
        </w:rPr>
        <w:t xml:space="preserve">(3), pp.410-423. </w:t>
      </w:r>
      <w:hyperlink r:id="rId36">
        <w:r>
          <w:rPr>
            <w:rFonts w:ascii="Times New Roman" w:eastAsia="Times New Roman" w:hAnsi="Times New Roman" w:cs="Times New Roman"/>
            <w:color w:val="0000FF"/>
            <w:sz w:val="24"/>
            <w:szCs w:val="24"/>
            <w:u w:val="single"/>
          </w:rPr>
          <w:t>https://doi.org/10.1080/10894160.2019.1585174</w:t>
        </w:r>
      </w:hyperlink>
    </w:p>
    <w:p w14:paraId="50F1AFA8" w14:textId="77777777" w:rsidR="00FB67DE" w:rsidRDefault="00000000">
      <w:pPr>
        <w:spacing w:line="360" w:lineRule="auto"/>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color w:val="222222"/>
          <w:sz w:val="24"/>
          <w:szCs w:val="24"/>
        </w:rPr>
        <w:t>Peryer</w:t>
      </w:r>
      <w:proofErr w:type="spellEnd"/>
      <w:r>
        <w:rPr>
          <w:rFonts w:ascii="Times New Roman" w:eastAsia="Times New Roman" w:hAnsi="Times New Roman" w:cs="Times New Roman"/>
          <w:color w:val="222222"/>
          <w:sz w:val="24"/>
          <w:szCs w:val="24"/>
        </w:rPr>
        <w:t xml:space="preserve">, G., Kelly, S., Blake, J., Burton, J.K., Irvine, L., Cowan, A., </w:t>
      </w:r>
      <w:proofErr w:type="spellStart"/>
      <w:r>
        <w:rPr>
          <w:rFonts w:ascii="Times New Roman" w:eastAsia="Times New Roman" w:hAnsi="Times New Roman" w:cs="Times New Roman"/>
          <w:color w:val="222222"/>
          <w:sz w:val="24"/>
          <w:szCs w:val="24"/>
        </w:rPr>
        <w:t>Akdur</w:t>
      </w:r>
      <w:proofErr w:type="spellEnd"/>
      <w:r>
        <w:rPr>
          <w:rFonts w:ascii="Times New Roman" w:eastAsia="Times New Roman" w:hAnsi="Times New Roman" w:cs="Times New Roman"/>
          <w:color w:val="222222"/>
          <w:sz w:val="24"/>
          <w:szCs w:val="24"/>
        </w:rPr>
        <w:t xml:space="preserve">, G., </w:t>
      </w:r>
      <w:proofErr w:type="spellStart"/>
      <w:r>
        <w:rPr>
          <w:rFonts w:ascii="Times New Roman" w:eastAsia="Times New Roman" w:hAnsi="Times New Roman" w:cs="Times New Roman"/>
          <w:color w:val="222222"/>
          <w:sz w:val="24"/>
          <w:szCs w:val="24"/>
        </w:rPr>
        <w:t>Killett</w:t>
      </w:r>
      <w:proofErr w:type="spellEnd"/>
      <w:r>
        <w:rPr>
          <w:rFonts w:ascii="Times New Roman" w:eastAsia="Times New Roman" w:hAnsi="Times New Roman" w:cs="Times New Roman"/>
          <w:color w:val="222222"/>
          <w:sz w:val="24"/>
          <w:szCs w:val="24"/>
        </w:rPr>
        <w:t xml:space="preserve">, A., Brand, S.L., Musa, M.K. and Meyer, J., 2022. Contextual factors influencing complex intervention research processes in care homes: a systematic review and framework synthesis. </w:t>
      </w:r>
      <w:r>
        <w:rPr>
          <w:rFonts w:ascii="Times New Roman" w:eastAsia="Times New Roman" w:hAnsi="Times New Roman" w:cs="Times New Roman"/>
          <w:i/>
          <w:color w:val="222222"/>
          <w:sz w:val="24"/>
          <w:szCs w:val="24"/>
        </w:rPr>
        <w:t>Age and ageing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51</w:t>
      </w:r>
      <w:r>
        <w:rPr>
          <w:rFonts w:ascii="Times New Roman" w:eastAsia="Times New Roman" w:hAnsi="Times New Roman" w:cs="Times New Roman"/>
          <w:color w:val="222222"/>
          <w:sz w:val="24"/>
          <w:szCs w:val="24"/>
        </w:rPr>
        <w:t xml:space="preserve">(3), </w:t>
      </w:r>
      <w:proofErr w:type="gramStart"/>
      <w:r>
        <w:rPr>
          <w:rFonts w:ascii="Times New Roman" w:eastAsia="Times New Roman" w:hAnsi="Times New Roman" w:cs="Times New Roman"/>
          <w:color w:val="222222"/>
          <w:sz w:val="24"/>
          <w:szCs w:val="24"/>
        </w:rPr>
        <w:t>p.afac</w:t>
      </w:r>
      <w:proofErr w:type="gramEnd"/>
      <w:r>
        <w:rPr>
          <w:rFonts w:ascii="Times New Roman" w:eastAsia="Times New Roman" w:hAnsi="Times New Roman" w:cs="Times New Roman"/>
          <w:color w:val="222222"/>
          <w:sz w:val="24"/>
          <w:szCs w:val="24"/>
        </w:rPr>
        <w:t>014.</w:t>
      </w:r>
      <w:hyperlink r:id="rId37">
        <w:r>
          <w:rPr>
            <w:rFonts w:ascii="Times New Roman" w:eastAsia="Times New Roman" w:hAnsi="Times New Roman" w:cs="Times New Roman"/>
            <w:color w:val="1155CC"/>
            <w:sz w:val="24"/>
            <w:szCs w:val="24"/>
            <w:u w:val="single"/>
          </w:rPr>
          <w:t>https://doi.org/10.1093/ageing/afac014</w:t>
        </w:r>
      </w:hyperlink>
    </w:p>
    <w:p w14:paraId="62ECB2AB" w14:textId="77777777" w:rsidR="00FB67DE"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Pingault</w:t>
      </w:r>
      <w:proofErr w:type="spellEnd"/>
      <w:r>
        <w:rPr>
          <w:rFonts w:ascii="Times New Roman" w:eastAsia="Times New Roman" w:hAnsi="Times New Roman" w:cs="Times New Roman"/>
          <w:sz w:val="24"/>
          <w:szCs w:val="24"/>
        </w:rPr>
        <w:t xml:space="preserve">, J.B., </w:t>
      </w:r>
      <w:proofErr w:type="spellStart"/>
      <w:r>
        <w:rPr>
          <w:rFonts w:ascii="Times New Roman" w:eastAsia="Times New Roman" w:hAnsi="Times New Roman" w:cs="Times New Roman"/>
          <w:sz w:val="24"/>
          <w:szCs w:val="24"/>
        </w:rPr>
        <w:t>O’reilly</w:t>
      </w:r>
      <w:proofErr w:type="spellEnd"/>
      <w:r>
        <w:rPr>
          <w:rFonts w:ascii="Times New Roman" w:eastAsia="Times New Roman" w:hAnsi="Times New Roman" w:cs="Times New Roman"/>
          <w:sz w:val="24"/>
          <w:szCs w:val="24"/>
        </w:rPr>
        <w:t xml:space="preserve">, P.F., </w:t>
      </w:r>
      <w:proofErr w:type="spellStart"/>
      <w:r>
        <w:rPr>
          <w:rFonts w:ascii="Times New Roman" w:eastAsia="Times New Roman" w:hAnsi="Times New Roman" w:cs="Times New Roman"/>
          <w:sz w:val="24"/>
          <w:szCs w:val="24"/>
        </w:rPr>
        <w:t>Schoeler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Ploubidis</w:t>
      </w:r>
      <w:proofErr w:type="spellEnd"/>
      <w:r>
        <w:rPr>
          <w:rFonts w:ascii="Times New Roman" w:eastAsia="Times New Roman" w:hAnsi="Times New Roman" w:cs="Times New Roman"/>
          <w:sz w:val="24"/>
          <w:szCs w:val="24"/>
        </w:rPr>
        <w:t xml:space="preserve">, G.B., </w:t>
      </w:r>
      <w:proofErr w:type="spellStart"/>
      <w:r>
        <w:rPr>
          <w:rFonts w:ascii="Times New Roman" w:eastAsia="Times New Roman" w:hAnsi="Times New Roman" w:cs="Times New Roman"/>
          <w:sz w:val="24"/>
          <w:szCs w:val="24"/>
        </w:rPr>
        <w:t>Rijsdijk</w:t>
      </w:r>
      <w:proofErr w:type="spellEnd"/>
      <w:r>
        <w:rPr>
          <w:rFonts w:ascii="Times New Roman" w:eastAsia="Times New Roman" w:hAnsi="Times New Roman" w:cs="Times New Roman"/>
          <w:sz w:val="24"/>
          <w:szCs w:val="24"/>
        </w:rPr>
        <w:t xml:space="preserve">, F. and </w:t>
      </w:r>
      <w:proofErr w:type="spellStart"/>
      <w:r>
        <w:rPr>
          <w:rFonts w:ascii="Times New Roman" w:eastAsia="Times New Roman" w:hAnsi="Times New Roman" w:cs="Times New Roman"/>
          <w:sz w:val="24"/>
          <w:szCs w:val="24"/>
        </w:rPr>
        <w:t>Dudbridge</w:t>
      </w:r>
      <w:proofErr w:type="spellEnd"/>
      <w:r>
        <w:rPr>
          <w:rFonts w:ascii="Times New Roman" w:eastAsia="Times New Roman" w:hAnsi="Times New Roman" w:cs="Times New Roman"/>
          <w:sz w:val="24"/>
          <w:szCs w:val="24"/>
        </w:rPr>
        <w:t>, F., 2018. Using genetic data to strengthen causal inference in observational research. </w:t>
      </w:r>
      <w:r>
        <w:rPr>
          <w:rFonts w:ascii="Times New Roman" w:eastAsia="Times New Roman" w:hAnsi="Times New Roman" w:cs="Times New Roman"/>
          <w:i/>
          <w:sz w:val="24"/>
          <w:szCs w:val="24"/>
        </w:rPr>
        <w:t>Nature Reviews Genetics</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(9), pp.566-580. Available at: &lt;</w:t>
      </w:r>
      <w:hyperlink r:id="rId38">
        <w:r>
          <w:rPr>
            <w:rFonts w:ascii="Times New Roman" w:eastAsia="Times New Roman" w:hAnsi="Times New Roman" w:cs="Times New Roman"/>
            <w:color w:val="0000FF"/>
            <w:sz w:val="24"/>
            <w:szCs w:val="24"/>
            <w:u w:val="single"/>
          </w:rPr>
          <w:t>https://discovery.ucl.ac.uk/id/eprint/10049952/1/Pingault_V2_PRR_DB3_1524574686_73_Clean.pdf</w:t>
        </w:r>
      </w:hyperlink>
      <w:r>
        <w:rPr>
          <w:rFonts w:ascii="Times New Roman" w:eastAsia="Times New Roman" w:hAnsi="Times New Roman" w:cs="Times New Roman"/>
          <w:color w:val="0000FF"/>
          <w:sz w:val="24"/>
          <w:szCs w:val="24"/>
          <w:u w:val="single"/>
        </w:rPr>
        <w:t>&gt;</w:t>
      </w:r>
      <w:r>
        <w:rPr>
          <w:rFonts w:ascii="Times New Roman" w:eastAsia="Times New Roman" w:hAnsi="Times New Roman" w:cs="Times New Roman"/>
          <w:sz w:val="24"/>
          <w:szCs w:val="24"/>
        </w:rPr>
        <w:t xml:space="preserve"> [ Accessed 1 April 2022].</w:t>
      </w:r>
    </w:p>
    <w:p w14:paraId="2D8F46E1" w14:textId="77777777" w:rsidR="00FB67DE" w:rsidRDefault="00000000">
      <w:pPr>
        <w:spacing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Rubinsky</w:t>
      </w:r>
      <w:proofErr w:type="spellEnd"/>
      <w:r>
        <w:rPr>
          <w:rFonts w:ascii="Times New Roman" w:eastAsia="Times New Roman" w:hAnsi="Times New Roman" w:cs="Times New Roman"/>
          <w:color w:val="222222"/>
          <w:sz w:val="24"/>
          <w:szCs w:val="24"/>
        </w:rPr>
        <w:t xml:space="preserve">, V. and </w:t>
      </w:r>
      <w:proofErr w:type="spellStart"/>
      <w:r>
        <w:rPr>
          <w:rFonts w:ascii="Times New Roman" w:eastAsia="Times New Roman" w:hAnsi="Times New Roman" w:cs="Times New Roman"/>
          <w:color w:val="222222"/>
          <w:sz w:val="24"/>
          <w:szCs w:val="24"/>
        </w:rPr>
        <w:t>Hosek</w:t>
      </w:r>
      <w:proofErr w:type="spellEnd"/>
      <w:r>
        <w:rPr>
          <w:rFonts w:ascii="Times New Roman" w:eastAsia="Times New Roman" w:hAnsi="Times New Roman" w:cs="Times New Roman"/>
          <w:color w:val="222222"/>
          <w:sz w:val="24"/>
          <w:szCs w:val="24"/>
        </w:rPr>
        <w:t xml:space="preserve">, A., 2020. “We have to get over it”: Navigating sex talk through the lens of sexual communication comfort and sexual self-disclosure in LGBTQ intimate partnerships. </w:t>
      </w:r>
      <w:r>
        <w:rPr>
          <w:rFonts w:ascii="Times New Roman" w:eastAsia="Times New Roman" w:hAnsi="Times New Roman" w:cs="Times New Roman"/>
          <w:i/>
          <w:color w:val="222222"/>
          <w:sz w:val="24"/>
          <w:szCs w:val="24"/>
        </w:rPr>
        <w:t>Sexuality &amp; Culture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24</w:t>
      </w:r>
      <w:r>
        <w:rPr>
          <w:rFonts w:ascii="Times New Roman" w:eastAsia="Times New Roman" w:hAnsi="Times New Roman" w:cs="Times New Roman"/>
          <w:color w:val="222222"/>
          <w:sz w:val="24"/>
          <w:szCs w:val="24"/>
        </w:rPr>
        <w:t>(3), pp.613-629. Available at:&lt;</w:t>
      </w:r>
      <w:hyperlink r:id="rId39">
        <w:r>
          <w:rPr>
            <w:rFonts w:ascii="Times New Roman" w:eastAsia="Times New Roman" w:hAnsi="Times New Roman" w:cs="Times New Roman"/>
            <w:color w:val="1155CC"/>
            <w:sz w:val="24"/>
            <w:szCs w:val="24"/>
            <w:u w:val="single"/>
          </w:rPr>
          <w:t>https://link.springer.com/article/10.1007/s12119-019-09652-0</w:t>
        </w:r>
      </w:hyperlink>
      <w:r>
        <w:rPr>
          <w:rFonts w:ascii="Times New Roman" w:eastAsia="Times New Roman" w:hAnsi="Times New Roman" w:cs="Times New Roman"/>
          <w:color w:val="1155CC"/>
          <w:sz w:val="24"/>
          <w:szCs w:val="24"/>
          <w:u w:val="single"/>
        </w:rPr>
        <w:t>&gt;</w:t>
      </w:r>
      <w:r>
        <w:rPr>
          <w:rFonts w:ascii="Times New Roman" w:eastAsia="Times New Roman" w:hAnsi="Times New Roman" w:cs="Times New Roman"/>
          <w:color w:val="222222"/>
          <w:sz w:val="24"/>
          <w:szCs w:val="24"/>
        </w:rPr>
        <w:t xml:space="preserve"> [Accessed 24 March 2022].</w:t>
      </w:r>
    </w:p>
    <w:p w14:paraId="6C9EE9C5" w14:textId="77777777" w:rsidR="00FB67DE"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Statista Research Department, 2022. </w:t>
      </w:r>
      <w:r>
        <w:rPr>
          <w:rFonts w:ascii="Times New Roman" w:eastAsia="Times New Roman" w:hAnsi="Times New Roman" w:cs="Times New Roman"/>
          <w:i/>
          <w:color w:val="222222"/>
          <w:sz w:val="24"/>
          <w:szCs w:val="24"/>
        </w:rPr>
        <w:t>LGBT purchasing power in select countries globally 2015 | Statista</w:t>
      </w:r>
      <w:r>
        <w:rPr>
          <w:rFonts w:ascii="Times New Roman" w:eastAsia="Times New Roman" w:hAnsi="Times New Roman" w:cs="Times New Roman"/>
          <w:color w:val="222222"/>
          <w:sz w:val="24"/>
          <w:szCs w:val="24"/>
        </w:rPr>
        <w:t>. [online] Statista. Available at:&lt;</w:t>
      </w:r>
      <w:hyperlink r:id="rId40">
        <w:r>
          <w:rPr>
            <w:rFonts w:ascii="Times New Roman" w:eastAsia="Times New Roman" w:hAnsi="Times New Roman" w:cs="Times New Roman"/>
            <w:color w:val="1155CC"/>
            <w:sz w:val="24"/>
            <w:szCs w:val="24"/>
            <w:u w:val="single"/>
          </w:rPr>
          <w:t>https://www.statista.com/statistics/650061/lgbt-purchasing-power-in-select-countries-globally/</w:t>
        </w:r>
      </w:hyperlink>
      <w:r>
        <w:rPr>
          <w:rFonts w:ascii="Times New Roman" w:eastAsia="Times New Roman" w:hAnsi="Times New Roman" w:cs="Times New Roman"/>
          <w:color w:val="222222"/>
          <w:sz w:val="24"/>
          <w:szCs w:val="24"/>
        </w:rPr>
        <w:t xml:space="preserve"> &gt; [Accessed 24 March 2022].</w:t>
      </w:r>
    </w:p>
    <w:p w14:paraId="277B2813" w14:textId="77777777" w:rsidR="00FB67D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DM, 2018. LGBTQ music educators: External mentoring between student teachers and in-service teachers. </w:t>
      </w:r>
      <w:r>
        <w:rPr>
          <w:rFonts w:ascii="Times New Roman" w:eastAsia="Times New Roman" w:hAnsi="Times New Roman" w:cs="Times New Roman"/>
          <w:i/>
          <w:sz w:val="24"/>
          <w:szCs w:val="24"/>
        </w:rPr>
        <w:t>Bulletin of the Council for Research in Music Education</w:t>
      </w:r>
      <w:r>
        <w:rPr>
          <w:rFonts w:ascii="Times New Roman" w:eastAsia="Times New Roman" w:hAnsi="Times New Roman" w:cs="Times New Roman"/>
          <w:sz w:val="24"/>
          <w:szCs w:val="24"/>
        </w:rPr>
        <w:t xml:space="preserve">, (216), pp.65-86. Available at: &lt; </w:t>
      </w:r>
      <w:hyperlink r:id="rId41">
        <w:r>
          <w:rPr>
            <w:rFonts w:ascii="Times New Roman" w:eastAsia="Times New Roman" w:hAnsi="Times New Roman" w:cs="Times New Roman"/>
            <w:color w:val="0000FF"/>
            <w:sz w:val="24"/>
            <w:szCs w:val="24"/>
            <w:u w:val="single"/>
          </w:rPr>
          <w:t>http://fip.um.ac.id/wp-content/uploads/2015/12/bulcouresmusedu.216.0065.pdf</w:t>
        </w:r>
      </w:hyperlink>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 Accessed 1 April 2022].</w:t>
      </w:r>
    </w:p>
    <w:p w14:paraId="3ABD1DF8" w14:textId="77777777" w:rsidR="00FB67DE"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Vanness</w:t>
      </w:r>
      <w:proofErr w:type="spellEnd"/>
      <w:r>
        <w:rPr>
          <w:rFonts w:ascii="Times New Roman" w:eastAsia="Times New Roman" w:hAnsi="Times New Roman" w:cs="Times New Roman"/>
          <w:sz w:val="24"/>
          <w:szCs w:val="24"/>
        </w:rPr>
        <w:t xml:space="preserve">, D.J., Lomas, J. and </w:t>
      </w:r>
      <w:proofErr w:type="spellStart"/>
      <w:r>
        <w:rPr>
          <w:rFonts w:ascii="Times New Roman" w:eastAsia="Times New Roman" w:hAnsi="Times New Roman" w:cs="Times New Roman"/>
          <w:sz w:val="24"/>
          <w:szCs w:val="24"/>
        </w:rPr>
        <w:t>Ahn</w:t>
      </w:r>
      <w:proofErr w:type="spellEnd"/>
      <w:r>
        <w:rPr>
          <w:rFonts w:ascii="Times New Roman" w:eastAsia="Times New Roman" w:hAnsi="Times New Roman" w:cs="Times New Roman"/>
          <w:sz w:val="24"/>
          <w:szCs w:val="24"/>
        </w:rPr>
        <w:t>, H., 2021. A health opportunity cost threshold for cost-effectiveness analysis in the United States. </w:t>
      </w:r>
      <w:r>
        <w:rPr>
          <w:rFonts w:ascii="Times New Roman" w:eastAsia="Times New Roman" w:hAnsi="Times New Roman" w:cs="Times New Roman"/>
          <w:i/>
          <w:sz w:val="24"/>
          <w:szCs w:val="24"/>
        </w:rPr>
        <w:t>Annals of internal medicine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174</w:t>
      </w:r>
      <w:r>
        <w:rPr>
          <w:rFonts w:ascii="Times New Roman" w:eastAsia="Times New Roman" w:hAnsi="Times New Roman" w:cs="Times New Roman"/>
          <w:sz w:val="24"/>
          <w:szCs w:val="24"/>
        </w:rPr>
        <w:t xml:space="preserve">(1), pp.25-32. </w:t>
      </w:r>
      <w:hyperlink r:id="rId42">
        <w:r>
          <w:rPr>
            <w:rFonts w:ascii="Times New Roman" w:eastAsia="Times New Roman" w:hAnsi="Times New Roman" w:cs="Times New Roman"/>
            <w:color w:val="0000FF"/>
            <w:sz w:val="24"/>
            <w:szCs w:val="24"/>
            <w:u w:val="single"/>
          </w:rPr>
          <w:t>https://doi.org/10.7326/M20-1392</w:t>
        </w:r>
      </w:hyperlink>
      <w:r>
        <w:rPr>
          <w:rFonts w:ascii="Times New Roman" w:eastAsia="Times New Roman" w:hAnsi="Times New Roman" w:cs="Times New Roman"/>
          <w:sz w:val="24"/>
          <w:szCs w:val="24"/>
        </w:rPr>
        <w:t xml:space="preserve"> </w:t>
      </w:r>
    </w:p>
    <w:p w14:paraId="04338E5C" w14:textId="77777777" w:rsidR="00FB67DE"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rPr>
        <w:t>Woulfe</w:t>
      </w:r>
      <w:proofErr w:type="spellEnd"/>
      <w:r>
        <w:rPr>
          <w:rFonts w:ascii="Times New Roman" w:eastAsia="Times New Roman" w:hAnsi="Times New Roman" w:cs="Times New Roman"/>
          <w:color w:val="222222"/>
          <w:sz w:val="24"/>
          <w:szCs w:val="24"/>
        </w:rPr>
        <w:t>, J.M. and Goodman, L.A., 2021. Identity abuse as a tactic of violence in LGBTQ communities: Initial validation of the identity abuse measure. </w:t>
      </w:r>
      <w:r>
        <w:rPr>
          <w:rFonts w:ascii="Times New Roman" w:eastAsia="Times New Roman" w:hAnsi="Times New Roman" w:cs="Times New Roman"/>
          <w:i/>
          <w:color w:val="222222"/>
          <w:sz w:val="24"/>
          <w:szCs w:val="24"/>
        </w:rPr>
        <w:t>Journal of interpersonal violence</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36</w:t>
      </w:r>
      <w:r>
        <w:rPr>
          <w:rFonts w:ascii="Times New Roman" w:eastAsia="Times New Roman" w:hAnsi="Times New Roman" w:cs="Times New Roman"/>
          <w:color w:val="222222"/>
          <w:sz w:val="24"/>
          <w:szCs w:val="24"/>
        </w:rPr>
        <w:t xml:space="preserve">(5-6), pp.2656-2676. </w:t>
      </w:r>
      <w:hyperlink r:id="rId43">
        <w:r>
          <w:rPr>
            <w:rFonts w:ascii="Times New Roman" w:eastAsia="Times New Roman" w:hAnsi="Times New Roman" w:cs="Times New Roman"/>
            <w:color w:val="0000FF"/>
            <w:sz w:val="24"/>
            <w:szCs w:val="24"/>
            <w:u w:val="single"/>
          </w:rPr>
          <w:t>https://doi.org/10.1177/0886260518760018</w:t>
        </w:r>
      </w:hyperlink>
      <w:r>
        <w:rPr>
          <w:rFonts w:ascii="Times New Roman" w:eastAsia="Times New Roman" w:hAnsi="Times New Roman" w:cs="Times New Roman"/>
          <w:color w:val="222222"/>
          <w:sz w:val="24"/>
          <w:szCs w:val="24"/>
        </w:rPr>
        <w:t xml:space="preserve"> </w:t>
      </w:r>
    </w:p>
    <w:sectPr w:rsidR="00FB67DE">
      <w:footerReference w:type="default" r:id="rId4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2974E" w14:textId="77777777" w:rsidR="00602CC1" w:rsidRDefault="00602CC1">
      <w:pPr>
        <w:spacing w:line="240" w:lineRule="auto"/>
      </w:pPr>
      <w:r>
        <w:separator/>
      </w:r>
    </w:p>
  </w:endnote>
  <w:endnote w:type="continuationSeparator" w:id="0">
    <w:p w14:paraId="02A48AC8" w14:textId="77777777" w:rsidR="00602CC1" w:rsidRDefault="00602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9BDB" w14:textId="77777777" w:rsidR="00FB67DE" w:rsidRDefault="00000000">
    <w:pPr>
      <w:pBdr>
        <w:top w:val="single" w:sz="24" w:space="1" w:color="622423"/>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t xml:space="preserve">Page </w:t>
    </w:r>
    <w:r>
      <w:rPr>
        <w:color w:val="000000"/>
      </w:rPr>
      <w:fldChar w:fldCharType="begin"/>
    </w:r>
    <w:r>
      <w:rPr>
        <w:color w:val="000000"/>
      </w:rPr>
      <w:instrText>PAGE</w:instrText>
    </w:r>
    <w:r>
      <w:rPr>
        <w:color w:val="000000"/>
      </w:rPr>
      <w:fldChar w:fldCharType="separate"/>
    </w:r>
    <w:r w:rsidR="009E75FB">
      <w:rPr>
        <w:noProof/>
        <w:color w:val="000000"/>
      </w:rPr>
      <w:t>2</w:t>
    </w:r>
    <w:r>
      <w:rPr>
        <w:color w:val="000000"/>
      </w:rPr>
      <w:fldChar w:fldCharType="end"/>
    </w:r>
  </w:p>
  <w:p w14:paraId="5484E185" w14:textId="77777777" w:rsidR="00FB67DE" w:rsidRDefault="00FB67D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5C1B" w14:textId="77777777" w:rsidR="00602CC1" w:rsidRDefault="00602CC1">
      <w:pPr>
        <w:spacing w:line="240" w:lineRule="auto"/>
      </w:pPr>
      <w:r>
        <w:separator/>
      </w:r>
    </w:p>
  </w:footnote>
  <w:footnote w:type="continuationSeparator" w:id="0">
    <w:p w14:paraId="5917128F" w14:textId="77777777" w:rsidR="00602CC1" w:rsidRDefault="00602C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7DE"/>
    <w:rsid w:val="00602CC1"/>
    <w:rsid w:val="009E75FB"/>
    <w:rsid w:val="00FB6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CC7778"/>
  <w15:docId w15:val="{B1A43C04-B285-5B49-872E-112FE0DF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rFonts w:ascii="Times New Roman" w:eastAsia="Times New Roman" w:hAnsi="Times New Roman" w:cs="Times New Roman"/>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2010.1177/10598405211043394%20" TargetMode="External"/><Relationship Id="rId18" Type="http://schemas.openxmlformats.org/officeDocument/2006/relationships/hyperlink" Target="https://doi.org/10.35912/joste.v2i3.554" TargetMode="External"/><Relationship Id="rId26" Type="http://schemas.openxmlformats.org/officeDocument/2006/relationships/hyperlink" Target="https://doi.org/%2010.1002/nop2.1166%20" TargetMode="External"/><Relationship Id="rId39" Type="http://schemas.openxmlformats.org/officeDocument/2006/relationships/hyperlink" Target="https://link.springer.com/article/10.1007/s12119-019-09652-0" TargetMode="External"/><Relationship Id="rId21" Type="http://schemas.openxmlformats.org/officeDocument/2006/relationships/hyperlink" Target="http://dx.doi.org/10.15365/joce.2203012019" TargetMode="External"/><Relationship Id="rId34" Type="http://schemas.openxmlformats.org/officeDocument/2006/relationships/hyperlink" Target="https://doi.org/10.1080/00918369.2018.1519304" TargetMode="External"/><Relationship Id="rId42" Type="http://schemas.openxmlformats.org/officeDocument/2006/relationships/hyperlink" Target="https://doi.org/10.7326/M20-1392" TargetMode="External"/><Relationship Id="rId7" Type="http://schemas.openxmlformats.org/officeDocument/2006/relationships/hyperlink" Target="http://en.scienceph.ru/f/science_and_world_no_5_81_may_vol_ii.pdf" TargetMode="External"/><Relationship Id="rId2" Type="http://schemas.openxmlformats.org/officeDocument/2006/relationships/settings" Target="settings.xml"/><Relationship Id="rId16" Type="http://schemas.openxmlformats.org/officeDocument/2006/relationships/hyperlink" Target="https://doi.org/10.1177/2372732220943232" TargetMode="External"/><Relationship Id="rId29" Type="http://schemas.openxmlformats.org/officeDocument/2006/relationships/hyperlink" Target="https://doi.org/10.1089/jpm.2017.0544"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16/j.clon.2020.12.012" TargetMode="External"/><Relationship Id="rId24" Type="http://schemas.openxmlformats.org/officeDocument/2006/relationships/hyperlink" Target="https://doi.org/10.1101/2020.08.03.20167403" TargetMode="External"/><Relationship Id="rId32" Type="http://schemas.openxmlformats.org/officeDocument/2006/relationships/hyperlink" Target="https://doi.org/10.1080/20479700.2022.2029261" TargetMode="External"/><Relationship Id="rId37" Type="http://schemas.openxmlformats.org/officeDocument/2006/relationships/hyperlink" Target="https://doi.org/10.1093/ageing/afac014" TargetMode="External"/><Relationship Id="rId40" Type="http://schemas.openxmlformats.org/officeDocument/2006/relationships/hyperlink" Target="https://www.statista.com/statistics/650061/lgbt-purchasing-power-in-select-countries-globally/"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2010.1177/10598405211043394%20" TargetMode="External"/><Relationship Id="rId23" Type="http://schemas.openxmlformats.org/officeDocument/2006/relationships/hyperlink" Target="https://doi.org/10.1080/02678373.2019.1567619" TargetMode="External"/><Relationship Id="rId28" Type="http://schemas.openxmlformats.org/officeDocument/2006/relationships/hyperlink" Target="https://doi.org/10.1371/journal.pone.0224286" TargetMode="External"/><Relationship Id="rId36" Type="http://schemas.openxmlformats.org/officeDocument/2006/relationships/hyperlink" Target="https://doi.org/10.1080/10894160.2019.1585174" TargetMode="External"/><Relationship Id="rId10" Type="http://schemas.openxmlformats.org/officeDocument/2006/relationships/hyperlink" Target="https://sti.bmj.com/content/94/3/212" TargetMode="External"/><Relationship Id="rId19" Type="http://schemas.openxmlformats.org/officeDocument/2006/relationships/hyperlink" Target="https://www.atlantis-press.com/article/125958055.pdf" TargetMode="External"/><Relationship Id="rId31" Type="http://schemas.openxmlformats.org/officeDocument/2006/relationships/hyperlink" Target="https://doi.org/10.1080/20479700.2022.2029261"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dx.doi.org/10.3390/su12155900" TargetMode="External"/><Relationship Id="rId14" Type="http://schemas.openxmlformats.org/officeDocument/2006/relationships/hyperlink" Target="https://doi.org/%2010.1177/10598405211043394%20" TargetMode="External"/><Relationship Id="rId22" Type="http://schemas.openxmlformats.org/officeDocument/2006/relationships/hyperlink" Target="http://dx.doi.org/10.15365/joce.2203012019" TargetMode="External"/><Relationship Id="rId27" Type="http://schemas.openxmlformats.org/officeDocument/2006/relationships/hyperlink" Target="https://doi.org/%2010.1002/nop2.1166%20" TargetMode="External"/><Relationship Id="rId30" Type="http://schemas.openxmlformats.org/officeDocument/2006/relationships/hyperlink" Target="https://doi.org/10.1177/00220183221086384" TargetMode="External"/><Relationship Id="rId35" Type="http://schemas.openxmlformats.org/officeDocument/2006/relationships/hyperlink" Target="https://doi.org/10.1172/JCI146392" TargetMode="External"/><Relationship Id="rId43" Type="http://schemas.openxmlformats.org/officeDocument/2006/relationships/hyperlink" Target="https://doi.org/10.1177/0886260518760018" TargetMode="External"/><Relationship Id="rId8" Type="http://schemas.openxmlformats.org/officeDocument/2006/relationships/hyperlink" Target="http://dx.doi.org/10.3390/su12155900" TargetMode="External"/><Relationship Id="rId3" Type="http://schemas.openxmlformats.org/officeDocument/2006/relationships/webSettings" Target="webSettings.xml"/><Relationship Id="rId12" Type="http://schemas.openxmlformats.org/officeDocument/2006/relationships/hyperlink" Target="https://doi.org/10.1080/14681366.2019.1681496" TargetMode="External"/><Relationship Id="rId17" Type="http://schemas.openxmlformats.org/officeDocument/2006/relationships/hyperlink" Target="https://doi.org/10.1177/2372732220943232" TargetMode="External"/><Relationship Id="rId25" Type="http://schemas.openxmlformats.org/officeDocument/2006/relationships/hyperlink" Target="https://doi.org/%2010.1002/nop2.1166%20" TargetMode="External"/><Relationship Id="rId33" Type="http://schemas.openxmlformats.org/officeDocument/2006/relationships/hyperlink" Target="https://doi.org/10.1080/00918369.2018.1519304" TargetMode="External"/><Relationship Id="rId38" Type="http://schemas.openxmlformats.org/officeDocument/2006/relationships/hyperlink" Target="https://discovery.ucl.ac.uk/id/eprint/10049952/1/Pingault_V2_PRR_DB3_1524574686_73_Clean.pdf" TargetMode="External"/><Relationship Id="rId46" Type="http://schemas.openxmlformats.org/officeDocument/2006/relationships/theme" Target="theme/theme1.xml"/><Relationship Id="rId20" Type="http://schemas.openxmlformats.org/officeDocument/2006/relationships/hyperlink" Target="https://www.atlantis-press.com/article/125958055.pdf" TargetMode="External"/><Relationship Id="rId41" Type="http://schemas.openxmlformats.org/officeDocument/2006/relationships/hyperlink" Target="http://fip.um.ac.id/wp-content/uploads/2015/12/bulcouresmusedu.216.00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4522</Words>
  <Characters>25780</Characters>
  <Application>Microsoft Office Word</Application>
  <DocSecurity>0</DocSecurity>
  <Lines>214</Lines>
  <Paragraphs>60</Paragraphs>
  <ScaleCrop>false</ScaleCrop>
  <Company/>
  <LinksUpToDate>false</LinksUpToDate>
  <CharactersWithSpaces>30242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Tharakan Jacob (ELHT) ED &amp; UCC Management</cp:lastModifiedBy>
  <cp:revision>2</cp:revision>
  <dcterms:created xsi:type="dcterms:W3CDTF">2023-11-08T11:33:00Z</dcterms:created>
  <dcterms:modified xsi:type="dcterms:W3CDTF">2023-11-08T11:37:00Z</dcterms:modified>
</cp:coreProperties>
</file>