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E85E229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449CE">
        <w:rPr>
          <w:rFonts w:ascii="Galyon" w:hAnsi="Galyon" w:cs="Serithai"/>
          <w:sz w:val="24"/>
          <w:szCs w:val="24"/>
        </w:rPr>
        <w:t>Mount Majura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5449CE">
        <w:rPr>
          <w:rFonts w:ascii="Galyon" w:hAnsi="Galyon" w:cs="Serithai"/>
          <w:sz w:val="24"/>
          <w:szCs w:val="24"/>
        </w:rPr>
        <w:t xml:space="preserve">140 magnum | </w:t>
      </w:r>
      <w:r w:rsidR="00270982">
        <w:rPr>
          <w:rFonts w:ascii="Galyon" w:hAnsi="Galyon" w:cs="Serithai"/>
          <w:sz w:val="24"/>
          <w:szCs w:val="24"/>
        </w:rPr>
        <w:t>6</w:t>
      </w:r>
      <w:r w:rsidR="005449CE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5449CE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BB2154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449CE">
        <w:rPr>
          <w:rFonts w:ascii="Galyon" w:hAnsi="Galyon" w:cs="Serithai"/>
          <w:sz w:val="24"/>
          <w:szCs w:val="24"/>
        </w:rPr>
        <w:t xml:space="preserve">Lark Hill </w:t>
      </w:r>
      <w:r w:rsidR="005449CE">
        <w:rPr>
          <w:rFonts w:ascii="Galyon" w:hAnsi="Galyon" w:cs="Serithai"/>
          <w:i/>
          <w:iCs/>
          <w:sz w:val="24"/>
          <w:szCs w:val="24"/>
        </w:rPr>
        <w:t>Canberra Region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5449CE">
        <w:rPr>
          <w:rFonts w:ascii="Galyon" w:hAnsi="Galyon" w:cs="Serithai"/>
          <w:sz w:val="24"/>
          <w:szCs w:val="24"/>
        </w:rPr>
        <w:t>55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13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234ABE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4538F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4538F">
        <w:rPr>
          <w:rFonts w:ascii="Galyon" w:hAnsi="Galyon" w:cs="Serithai"/>
          <w:sz w:val="24"/>
          <w:szCs w:val="24"/>
        </w:rPr>
        <w:t>Eden Road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4538F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4538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2D4385BA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Rieslingfreak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No.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3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Clare Valley, SA | 70 bottle | 17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2C7E6F3F" w14:textId="5B9735E4" w:rsidR="00FC4691" w:rsidRPr="00106AE6" w:rsidRDefault="00FC4691" w:rsidP="00FC469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97E878D" w14:textId="77777777" w:rsidR="00FC4691" w:rsidRPr="00106AE6" w:rsidRDefault="00FC4691" w:rsidP="00FC469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A720EF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69B3B075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>Floral nose, rich, sweetness taken back by clean acidity and tight texture. Orange, pear and mandarin</w:t>
      </w:r>
      <w:bookmarkStart w:id="0" w:name="_GoBack"/>
      <w:bookmarkEnd w:id="0"/>
      <w:r w:rsidRPr="00357A89">
        <w:rPr>
          <w:rFonts w:ascii="Galyon" w:hAnsi="Galyon"/>
        </w:rPr>
        <w:t xml:space="preserve">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6C5C769F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538F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4538F"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B4538F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4538F">
        <w:rPr>
          <w:rFonts w:ascii="Galyon" w:hAnsi="Galyon" w:cs="Serithai"/>
          <w:b/>
          <w:bCs/>
        </w:rPr>
        <w:t>| 17 glass</w:t>
      </w:r>
    </w:p>
    <w:p w14:paraId="1EC9CE08" w14:textId="1808A943" w:rsidR="00B4538F" w:rsidRPr="00B4538F" w:rsidRDefault="00B4538F" w:rsidP="00B4538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5F6AC7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  <w:r w:rsidR="005449CE">
        <w:rPr>
          <w:rFonts w:ascii="Galyon" w:hAnsi="Galyon" w:cs="Serithai"/>
          <w:b/>
          <w:bCs/>
        </w:rPr>
        <w:t xml:space="preserve">| 15 glass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460F499A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  <w:r w:rsidR="005449CE">
        <w:rPr>
          <w:rFonts w:ascii="Galyon" w:hAnsi="Galyon" w:cs="Serithai"/>
          <w:b/>
          <w:bCs/>
        </w:rPr>
        <w:t>| 13 glass</w:t>
      </w:r>
    </w:p>
    <w:p w14:paraId="1953025F" w14:textId="77777777" w:rsidR="00F72BB5" w:rsidRPr="00106AE6" w:rsidRDefault="00F72BB5" w:rsidP="00F72BB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5B0156A6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336E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</w:t>
      </w:r>
      <w:r w:rsidR="00B851D4">
        <w:rPr>
          <w:rFonts w:ascii="Galyon" w:hAnsi="Galyon" w:cs="Serithai"/>
          <w:b/>
          <w:bCs/>
        </w:rPr>
        <w:t>3</w:t>
      </w:r>
      <w:r w:rsidR="001066B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B851D4">
        <w:rPr>
          <w:rFonts w:ascii="Galyon" w:hAnsi="Galyon" w:cs="Serithai"/>
          <w:b/>
          <w:bCs/>
        </w:rPr>
        <w:t>7</w:t>
      </w:r>
      <w:r w:rsidR="001066B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A253B">
        <w:rPr>
          <w:rFonts w:ascii="Galyon" w:hAnsi="Galyon" w:cs="Serithai"/>
          <w:b/>
          <w:bCs/>
        </w:rPr>
        <w:t>| 1</w:t>
      </w:r>
      <w:r w:rsidR="00B851D4">
        <w:rPr>
          <w:rFonts w:ascii="Galyon" w:hAnsi="Galyon" w:cs="Serithai"/>
          <w:b/>
          <w:bCs/>
        </w:rPr>
        <w:t>7</w:t>
      </w:r>
      <w:r w:rsidR="00BA253B">
        <w:rPr>
          <w:rFonts w:ascii="Galyon" w:hAnsi="Galyon" w:cs="Serithai"/>
          <w:b/>
          <w:bCs/>
        </w:rPr>
        <w:t xml:space="preserve"> glass</w:t>
      </w:r>
    </w:p>
    <w:p w14:paraId="22AD4F6C" w14:textId="353B2E9E" w:rsidR="00872565" w:rsidRPr="00872565" w:rsidRDefault="00B851D4" w:rsidP="00872565">
      <w:pPr>
        <w:ind w:left="720"/>
        <w:rPr>
          <w:rFonts w:ascii="Galyon" w:hAnsi="Galyon"/>
        </w:rPr>
      </w:pPr>
      <w:r>
        <w:rPr>
          <w:rFonts w:ascii="Galyon" w:hAnsi="Galyon"/>
        </w:rPr>
        <w:t>Super b</w:t>
      </w:r>
      <w:r w:rsidRPr="00B851D4">
        <w:rPr>
          <w:rFonts w:ascii="Galyon" w:hAnsi="Galyon"/>
        </w:rPr>
        <w:t>right nose</w:t>
      </w:r>
      <w:r>
        <w:rPr>
          <w:rFonts w:ascii="Galyon" w:hAnsi="Galyon"/>
        </w:rPr>
        <w:t xml:space="preserve"> of lime and minerals</w:t>
      </w:r>
      <w:r w:rsidRPr="00B851D4">
        <w:rPr>
          <w:rFonts w:ascii="Galyon" w:hAnsi="Galyon"/>
        </w:rPr>
        <w:t>, zippy acidity</w:t>
      </w:r>
      <w:r>
        <w:rPr>
          <w:rFonts w:ascii="Galyon" w:hAnsi="Galyon"/>
        </w:rPr>
        <w:t xml:space="preserve"> and </w:t>
      </w:r>
      <w:r w:rsidRPr="00B851D4">
        <w:rPr>
          <w:rFonts w:ascii="Galyon" w:hAnsi="Galyon"/>
        </w:rPr>
        <w:t xml:space="preserve">clean citrus </w:t>
      </w:r>
      <w:r>
        <w:rPr>
          <w:rFonts w:ascii="Galyon" w:hAnsi="Galyon"/>
        </w:rPr>
        <w:t xml:space="preserve">palate of </w:t>
      </w:r>
      <w:r w:rsidRPr="00B851D4">
        <w:rPr>
          <w:rFonts w:ascii="Galyon" w:hAnsi="Galyon"/>
        </w:rPr>
        <w:t>lime</w:t>
      </w:r>
      <w:r>
        <w:rPr>
          <w:rFonts w:ascii="Galyon" w:hAnsi="Galyon"/>
        </w:rPr>
        <w:t xml:space="preserve"> and </w:t>
      </w:r>
      <w:r w:rsidRPr="00B851D4">
        <w:rPr>
          <w:rFonts w:ascii="Galyon" w:hAnsi="Galyon"/>
        </w:rPr>
        <w:t>lemon in spades. Good expression of Clare.</w:t>
      </w:r>
    </w:p>
    <w:p w14:paraId="6DCC988E" w14:textId="77777777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D0573E0" w14:textId="7302AB0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elegant classic. Lemon and lime on the nose, balanced citrus and acidity throughout the palate. Another beauty and a bargain.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77777777" w:rsidR="00211A30" w:rsidRPr="008E3E9C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68B9D" w14:textId="77777777" w:rsidR="00CB7DAE" w:rsidRDefault="00CB7DAE" w:rsidP="00B920C5">
      <w:pPr>
        <w:spacing w:after="0" w:line="240" w:lineRule="auto"/>
      </w:pPr>
      <w:r>
        <w:separator/>
      </w:r>
    </w:p>
  </w:endnote>
  <w:endnote w:type="continuationSeparator" w:id="0">
    <w:p w14:paraId="0D9CEBA1" w14:textId="77777777" w:rsidR="00CB7DAE" w:rsidRDefault="00CB7DAE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CE63" w14:textId="77777777" w:rsidR="00CB7DAE" w:rsidRDefault="00CB7DAE" w:rsidP="00B920C5">
      <w:pPr>
        <w:spacing w:after="0" w:line="240" w:lineRule="auto"/>
      </w:pPr>
      <w:r>
        <w:separator/>
      </w:r>
    </w:p>
  </w:footnote>
  <w:footnote w:type="continuationSeparator" w:id="0">
    <w:p w14:paraId="18F8FF71" w14:textId="77777777" w:rsidR="00CB7DAE" w:rsidRDefault="00CB7DAE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5E0D"/>
    <w:rsid w:val="00840F3B"/>
    <w:rsid w:val="00843002"/>
    <w:rsid w:val="0084692B"/>
    <w:rsid w:val="0085554D"/>
    <w:rsid w:val="008702BC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E5B7E-E5EA-4C2F-BC8C-1A8BBF9C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2020-01-25T01:57:00Z</cp:lastPrinted>
  <dcterms:created xsi:type="dcterms:W3CDTF">2020-01-29T03:34:00Z</dcterms:created>
  <dcterms:modified xsi:type="dcterms:W3CDTF">2020-01-29T03:52:00Z</dcterms:modified>
</cp:coreProperties>
</file>