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235FF28C"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sidR="008E5D0A">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r>
        <w:rPr>
          <w:rFonts w:ascii="Galyon" w:hAnsi="Galyon" w:cs="Serithai"/>
          <w:sz w:val="24"/>
          <w:szCs w:val="24"/>
        </w:rPr>
        <w:t>Donnhoff</w:t>
      </w:r>
      <w:r w:rsidRPr="00106AE6">
        <w:rPr>
          <w:rFonts w:ascii="Galyon" w:hAnsi="Galyon" w:cs="Serithai"/>
          <w:sz w:val="24"/>
          <w:szCs w:val="24"/>
        </w:rPr>
        <w:t xml:space="preserve"> Riesling | </w:t>
      </w:r>
      <w:r>
        <w:rPr>
          <w:rFonts w:ascii="Galyon" w:hAnsi="Galyon" w:cs="Serithai"/>
          <w:sz w:val="24"/>
          <w:szCs w:val="24"/>
        </w:rPr>
        <w:t>Nahe</w:t>
      </w:r>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r w:rsidR="009F516B">
        <w:rPr>
          <w:rFonts w:ascii="Galyon" w:hAnsi="Galyon" w:cs="Serithai"/>
          <w:sz w:val="24"/>
          <w:szCs w:val="24"/>
        </w:rPr>
        <w:t>Boovability</w:t>
      </w:r>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516D5E1C" w14:textId="030FFDFA"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721FFB">
        <w:rPr>
          <w:rFonts w:ascii="Galyon" w:hAnsi="Galyon" w:cs="Serithai"/>
          <w:sz w:val="24"/>
          <w:szCs w:val="24"/>
        </w:rPr>
        <w:t>9</w:t>
      </w:r>
      <w:r>
        <w:rPr>
          <w:rFonts w:ascii="Galyon" w:hAnsi="Galyon" w:cs="Serithai"/>
          <w:sz w:val="24"/>
          <w:szCs w:val="24"/>
        </w:rPr>
        <w:t xml:space="preserve"> Nick Spencer </w:t>
      </w:r>
      <w:r w:rsidR="002F5D3F">
        <w:rPr>
          <w:rFonts w:ascii="Galyon" w:hAnsi="Galyon" w:cs="Serithai"/>
          <w:sz w:val="24"/>
          <w:szCs w:val="24"/>
        </w:rPr>
        <w:t>L</w:t>
      </w:r>
      <w:r>
        <w:rPr>
          <w:rFonts w:ascii="Galyon" w:hAnsi="Galyon" w:cs="Serithai"/>
          <w:sz w:val="24"/>
          <w:szCs w:val="24"/>
        </w:rPr>
        <w:t>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25A9DC1" w14:textId="77777777" w:rsidR="009A0B62" w:rsidRPr="00046CAC" w:rsidRDefault="009A0B62" w:rsidP="009A0B62">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Clonakilla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Power and precision, like all Clonakilla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1A4AF21" w:rsidR="0074612E" w:rsidRPr="00106AE6" w:rsidRDefault="0074612E" w:rsidP="0074612E">
      <w:pPr>
        <w:pStyle w:val="NoSpacing"/>
        <w:rPr>
          <w:rFonts w:ascii="Galyon" w:hAnsi="Galyon" w:cs="Serithai"/>
          <w:b/>
          <w:bCs/>
        </w:rPr>
      </w:pPr>
      <w:r w:rsidRPr="00106AE6">
        <w:rPr>
          <w:rFonts w:ascii="Galyon" w:hAnsi="Galyon" w:cs="Serithai"/>
          <w:b/>
          <w:bCs/>
        </w:rPr>
        <w:t>201</w:t>
      </w:r>
      <w:r w:rsidR="008E5D0A">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Winemaker Carla Rodeghiero is also vigneron, picker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3D0760">
        <w:rPr>
          <w:rFonts w:ascii="Galyon" w:hAnsi="Galyon" w:cs="Serithai"/>
          <w:b/>
          <w:bCs/>
        </w:rPr>
        <w:t xml:space="preserve">Artea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r w:rsidR="00FE65EC">
        <w:rPr>
          <w:rFonts w:ascii="Galyon" w:hAnsi="Galyon" w:cs="Serithai"/>
          <w:b/>
          <w:bCs/>
          <w:i/>
          <w:iCs/>
        </w:rPr>
        <w:t xml:space="preserve">Watervale </w:t>
      </w:r>
      <w:r w:rsidR="00FE65EC">
        <w:rPr>
          <w:rFonts w:ascii="Galyon" w:hAnsi="Galyon" w:cs="Serithai"/>
          <w:b/>
          <w:bCs/>
        </w:rPr>
        <w:t xml:space="preserve"> Riesling</w:t>
      </w:r>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Donnhoff | Nahe,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7 Dr Thanisch</w:t>
      </w:r>
      <w:r w:rsidRPr="00106AE6">
        <w:rPr>
          <w:rFonts w:ascii="Galyon" w:hAnsi="Galyon" w:cs="Serithai"/>
          <w:b/>
          <w:bCs/>
        </w:rPr>
        <w:t xml:space="preserve"> </w:t>
      </w:r>
      <w:r w:rsidRPr="00717F06">
        <w:rPr>
          <w:rFonts w:ascii="Galyon" w:hAnsi="Galyon" w:cs="Serithai"/>
          <w:b/>
          <w:bCs/>
          <w:i/>
          <w:iCs/>
        </w:rPr>
        <w:t xml:space="preserve">Bernkasteler Badstube </w:t>
      </w:r>
      <w:r w:rsidRPr="00717F06">
        <w:rPr>
          <w:rFonts w:ascii="Galyon" w:hAnsi="Galyon" w:cs="Serithai"/>
          <w:b/>
          <w:bCs/>
        </w:rPr>
        <w:t>Kabinett</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Kabinett’s?</w:t>
      </w:r>
      <w:r w:rsidRPr="003D2BF2">
        <w:rPr>
          <w:rFonts w:ascii="Galyon" w:hAnsi="Galyon"/>
        </w:rPr>
        <w:t xml:space="preserve"> Clean and light, fresh tropical fruits and acid. </w:t>
      </w:r>
      <w:r>
        <w:rPr>
          <w:rFonts w:ascii="Galyon" w:hAnsi="Galyon"/>
        </w:rPr>
        <w:t>Grosse Lage vineyard (German Premier Cru, if you will).</w:t>
      </w:r>
      <w:r w:rsidR="008C75BA">
        <w:rPr>
          <w:rFonts w:ascii="Galyon" w:hAnsi="Galyon"/>
        </w:rPr>
        <w:t xml:space="preserve"> Kabinett’s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Rielsing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Dry! Super dry old-world Riesling from a super-steep site in the Wachau Valley. Really well balanced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VInothekfullung Loibner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An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r>
        <w:rPr>
          <w:rFonts w:ascii="Galyon" w:hAnsi="Galyon" w:cs="Serithai"/>
          <w:b/>
          <w:bCs/>
          <w:i/>
          <w:iCs/>
        </w:rPr>
        <w:t xml:space="preserve">Petracine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Listed lightest to heaviest, kinda</w:t>
      </w:r>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Boovability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That’s all. And they’re damn good at them. Generous fruit, great structure and acidity. </w:t>
      </w:r>
    </w:p>
    <w:p w14:paraId="61B9E90C" w14:textId="77777777" w:rsidR="00735A94" w:rsidRDefault="00735A94" w:rsidP="00735A94">
      <w:pPr>
        <w:pStyle w:val="NoSpacing"/>
        <w:rPr>
          <w:rFonts w:ascii="Galyon" w:hAnsi="Galyon" w:cs="Serithai"/>
          <w:b/>
          <w:bCs/>
        </w:rPr>
      </w:pPr>
    </w:p>
    <w:p w14:paraId="49F1BF74" w14:textId="77777777"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Sangiovese and Shiraz with beautiful light mouthfeel and grippy tannins, this is ideal for arvo cheese plates or bbq.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‘beaujolais’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575C0B61" w14:textId="77777777" w:rsidR="00735A94" w:rsidRPr="00106AE6" w:rsidRDefault="00735A94" w:rsidP="00735A94">
      <w:pPr>
        <w:pStyle w:val="NoSpacing"/>
        <w:rPr>
          <w:rFonts w:ascii="Galyon" w:hAnsi="Galyon" w:cs="Serithai"/>
        </w:rPr>
      </w:pPr>
    </w:p>
    <w:p w14:paraId="012D7CAE"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Carmenere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tempranillo;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r w:rsidR="00DC33B8">
        <w:rPr>
          <w:rFonts w:ascii="Galyon" w:hAnsi="Galyon" w:cs="Serithai"/>
          <w:b/>
          <w:bCs/>
        </w:rPr>
        <w:t xml:space="preserve">Penley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rossa character with medium weight red and blue fruit. I’m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CCA6752" w14:textId="77777777" w:rsidR="009F02BF" w:rsidRDefault="009F02BF" w:rsidP="004D53AC">
      <w:pPr>
        <w:pStyle w:val="NoSpacing"/>
        <w:rPr>
          <w:rFonts w:ascii="Galyon" w:hAnsi="Galyon" w:cs="Serithai"/>
          <w:b/>
          <w:bCs/>
          <w:sz w:val="26"/>
          <w:szCs w:val="26"/>
        </w:rPr>
      </w:pPr>
    </w:p>
    <w:p w14:paraId="147D1ADA" w14:textId="3BB7FF5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“Fo Rizzle”</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8A0EE" w14:textId="77777777" w:rsidR="001F542C" w:rsidRDefault="001F542C" w:rsidP="00B920C5">
      <w:pPr>
        <w:spacing w:after="0" w:line="240" w:lineRule="auto"/>
      </w:pPr>
      <w:r>
        <w:separator/>
      </w:r>
    </w:p>
  </w:endnote>
  <w:endnote w:type="continuationSeparator" w:id="0">
    <w:p w14:paraId="7C22381F" w14:textId="77777777" w:rsidR="001F542C" w:rsidRDefault="001F542C"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893FE" w14:textId="77777777" w:rsidR="001F542C" w:rsidRDefault="001F542C" w:rsidP="00B920C5">
      <w:pPr>
        <w:spacing w:after="0" w:line="240" w:lineRule="auto"/>
      </w:pPr>
      <w:r>
        <w:separator/>
      </w:r>
    </w:p>
  </w:footnote>
  <w:footnote w:type="continuationSeparator" w:id="0">
    <w:p w14:paraId="738513A4" w14:textId="77777777" w:rsidR="001F542C" w:rsidRDefault="001F542C"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42C"/>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A3D2E"/>
    <w:rsid w:val="00DA4DF3"/>
    <w:rsid w:val="00DA6CAB"/>
    <w:rsid w:val="00DB6C27"/>
    <w:rsid w:val="00DC33B8"/>
    <w:rsid w:val="00DD15D3"/>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3423</Words>
  <Characters>19514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2020-09-24T06:56:00Z</cp:lastPrinted>
  <dcterms:created xsi:type="dcterms:W3CDTF">2020-09-25T00:10:00Z</dcterms:created>
  <dcterms:modified xsi:type="dcterms:W3CDTF">2020-09-25T00:11:00Z</dcterms:modified>
</cp:coreProperties>
</file>