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80"/>
        <w:jc w:val="left"/>
      </w:pPr>
      <w:r>
        <w:rPr>
          <w:rFonts w:ascii="Inter" w:cs="Inter" w:eastAsia="Inter" w:hAnsi="Inter"/>
          <w:b/>
          <w:bCs/>
          <w:color w:val="1e66f5"/>
          <w:sz w:val="72"/>
          <w:szCs w:val="72"/>
        </w:rPr>
        <w:t xml:space="preserve">321Sites</w:t>
      </w:r>
    </w:p>
    <w:p>
      <w:pPr>
        <w:spacing w:after="120" w:before="0"/>
        <w:jc w:val="left"/>
      </w:pPr>
      <w:r>
        <w:rPr>
          <w:rFonts w:ascii="Inter" w:cs="Inter" w:eastAsia="Inter" w:hAnsi="Inter"/>
          <w:b/>
          <w:bCs/>
          <w:color w:val="0f172a"/>
          <w:sz w:val="56"/>
          <w:szCs w:val="56"/>
        </w:rPr>
        <w:t xml:space="preserve">Design Guide</w:t>
      </w:r>
    </w:p>
    <w:p>
      <w:pPr>
        <w:pBdr>
          <w:bottom w:val="single" w:color="dde1e8" w:sz="4"/>
        </w:pBdr>
        <w:spacing w:after="200" w:before="0"/>
      </w:pPr>
    </w:p>
    <w:p>
      <w:pPr>
        <w:spacing w:after="480" w:before="120"/>
        <w:jc w:val="left"/>
      </w:pPr>
      <w:r>
        <w:rPr>
          <w:rFonts w:ascii="Inter" w:cs="Inter" w:eastAsia="Inter" w:hAnsi="Inter"/>
          <w:color w:val="3d4a5c"/>
          <w:sz w:val="24"/>
          <w:szCs w:val="24"/>
        </w:rPr>
        <w:t xml:space="preserve">A reference for colour, typography, spacing, and components across the marketing site and product.</w:t>
      </w:r>
    </w:p>
    <w:p>
      <w:pPr>
        <w:pStyle w:val="Heading1"/>
        <w:spacing w:after="120" w:before="400"/>
      </w:pPr>
      <w:r>
        <w:rPr>
          <w:rFonts w:ascii="Inter" w:cs="Inter" w:eastAsia="Inter" w:hAnsi="Inter"/>
          <w:b/>
          <w:bCs/>
          <w:color w:val="0f172a"/>
          <w:sz w:val="36"/>
          <w:szCs w:val="36"/>
        </w:rPr>
        <w:t xml:space="preserve">1. Design Tokens</w:t>
      </w:r>
    </w:p>
    <w:p>
      <w:pPr>
        <w:spacing w:after="100" w:before="0"/>
      </w:pPr>
      <w:r>
        <w:rPr>
          <w:rFonts w:ascii="Inter" w:cs="Inter" w:eastAsia="Inter" w:hAnsi="Inter"/>
          <w:color w:val="3d4a5c"/>
          <w:sz w:val="22"/>
          <w:szCs w:val="22"/>
        </w:rPr>
        <w:t xml:space="preserve">All colours, spacing, and type sizes are derived from a small set of CSS custom properties declared on :root. Every component on the marketing site, auth pages, help centre, and onboarding flow references these tokens — never raw hex values.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Inter" w:cs="Inter" w:eastAsia="Inter" w:hAnsi="Inter"/>
          <w:b/>
          <w:bCs/>
          <w:color w:val="0f172a"/>
          <w:sz w:val="26"/>
          <w:szCs w:val="26"/>
        </w:rPr>
        <w:t xml:space="preserve">1.1 Colour Tokens</w:t>
      </w:r>
    </w:p>
    <w:p>
      <w:pPr>
        <w:spacing w:after="100" w:before="0"/>
      </w:pPr>
      <w:r>
        <w:rPr>
          <w:rFonts w:ascii="Inter" w:cs="Inter" w:eastAsia="Inter" w:hAnsi="Inter"/>
          <w:color w:val="3d4a5c"/>
          <w:sz w:val="22"/>
          <w:szCs w:val="22"/>
        </w:rPr>
        <w:t xml:space="preserve">The palette is split into four groups: surface, ink (text), line (borders), and accent. All tokens use the --mk- prefix.</w:t>
      </w:r>
    </w:p>
    <w:p>
      <w:pPr>
        <w:spacing w:after="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ffffff" w:val="clear"/>
              <w:spacing w:after="0" w:before="0"/>
            </w:pPr>
            <w:r>
              <w:rPr>
                <w:rFonts w:ascii="Inter" w:cs="Inter" w:eastAsia="Inter" w:hAnsi="Inter"/>
                <w:sz w:val="48"/>
                <w:szCs w:val="48"/>
              </w:rPr>
              <w:t xml:space="preserve"> </w:t>
            </w:r>
          </w:p>
          <w:p>
            <w:pPr>
              <w:spacing w:after="20" w:before="80"/>
              <w:ind w:left="120" w:right="120"/>
            </w:pPr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Background</w:t>
            </w:r>
          </w:p>
          <w:p>
            <w:pPr>
              <w:spacing w:after="20" w:before="0"/>
              <w:ind w:left="120" w:right="1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#FFFFFF</w:t>
            </w:r>
          </w:p>
          <w:p>
            <w:pPr>
              <w:spacing w:after="20" w:before="0"/>
              <w:ind w:left="120" w:right="120"/>
            </w:pPr>
            <w:r>
              <w:rPr>
                <w:rFonts w:ascii="Courier New" w:cs="Courier New" w:eastAsia="Courier New" w:hAnsi="Courier New"/>
                <w:color w:val="1e66f5"/>
                <w:sz w:val="16"/>
                <w:szCs w:val="16"/>
              </w:rPr>
              <w:t xml:space="preserve">--mk-bg</w:t>
            </w:r>
          </w:p>
          <w:p>
            <w:pPr>
              <w:spacing w:after="100" w:before="0"/>
              <w:ind w:left="120" w:right="120"/>
            </w:pPr>
            <w:r>
              <w:rPr>
                <w:rFonts w:ascii="Inter" w:cs="Inter" w:eastAsia="Inter" w:hAnsi="Inter"/>
                <w:color w:val="3d4a5c"/>
                <w:sz w:val="18"/>
                <w:szCs w:val="18"/>
              </w:rPr>
              <w:t xml:space="preserve">Page background. Always white.</w:t>
            </w:r>
          </w:p>
        </w:tc>
        <w:tc>
          <w:tcPr>
            <w:tcW w:type="dxa" w:w="3360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ffffff" w:val="clear"/>
              <w:spacing w:after="0" w:before="0"/>
            </w:pPr>
            <w:r>
              <w:rPr>
                <w:rFonts w:ascii="Inter" w:cs="Inter" w:eastAsia="Inter" w:hAnsi="Inter"/>
                <w:sz w:val="48"/>
                <w:szCs w:val="48"/>
              </w:rPr>
              <w:t xml:space="preserve"> </w:t>
            </w:r>
          </w:p>
          <w:p>
            <w:pPr>
              <w:spacing w:after="20" w:before="80"/>
              <w:ind w:left="120" w:right="120"/>
            </w:pPr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Surface</w:t>
            </w:r>
          </w:p>
          <w:p>
            <w:pPr>
              <w:spacing w:after="20" w:before="0"/>
              <w:ind w:left="120" w:right="1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#FFFFFF</w:t>
            </w:r>
          </w:p>
          <w:p>
            <w:pPr>
              <w:spacing w:after="20" w:before="0"/>
              <w:ind w:left="120" w:right="120"/>
            </w:pPr>
            <w:r>
              <w:rPr>
                <w:rFonts w:ascii="Courier New" w:cs="Courier New" w:eastAsia="Courier New" w:hAnsi="Courier New"/>
                <w:color w:val="1e66f5"/>
                <w:sz w:val="16"/>
                <w:szCs w:val="16"/>
              </w:rPr>
              <w:t xml:space="preserve">--mk-surface</w:t>
            </w:r>
          </w:p>
          <w:p>
            <w:pPr>
              <w:spacing w:after="100" w:before="0"/>
              <w:ind w:left="120" w:right="120"/>
            </w:pPr>
            <w:r>
              <w:rPr>
                <w:rFonts w:ascii="Inter" w:cs="Inter" w:eastAsia="Inter" w:hAnsi="Inter"/>
                <w:color w:val="3d4a5c"/>
                <w:sz w:val="18"/>
                <w:szCs w:val="18"/>
              </w:rPr>
              <w:t xml:space="preserve">Card and panel backgrounds.</w:t>
            </w:r>
          </w:p>
        </w:tc>
        <w:tc>
          <w:tcPr>
            <w:tcW w:type="dxa" w:w="3360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edf1f8" w:val="clear"/>
              <w:spacing w:after="0" w:before="0"/>
            </w:pPr>
            <w:r>
              <w:rPr>
                <w:rFonts w:ascii="Inter" w:cs="Inter" w:eastAsia="Inter" w:hAnsi="Inter"/>
                <w:sz w:val="48"/>
                <w:szCs w:val="48"/>
              </w:rPr>
              <w:t xml:space="preserve"> </w:t>
            </w:r>
          </w:p>
          <w:p>
            <w:pPr>
              <w:spacing w:after="20" w:before="80"/>
              <w:ind w:left="120" w:right="120"/>
            </w:pPr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Panel</w:t>
            </w:r>
          </w:p>
          <w:p>
            <w:pPr>
              <w:spacing w:after="20" w:before="0"/>
              <w:ind w:left="120" w:right="1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#EDF1F8</w:t>
            </w:r>
          </w:p>
          <w:p>
            <w:pPr>
              <w:spacing w:after="20" w:before="0"/>
              <w:ind w:left="120" w:right="120"/>
            </w:pPr>
            <w:r>
              <w:rPr>
                <w:rFonts w:ascii="Courier New" w:cs="Courier New" w:eastAsia="Courier New" w:hAnsi="Courier New"/>
                <w:color w:val="1e66f5"/>
                <w:sz w:val="16"/>
                <w:szCs w:val="16"/>
              </w:rPr>
              <w:t xml:space="preserve">--mk-panel</w:t>
            </w:r>
          </w:p>
          <w:p>
            <w:pPr>
              <w:spacing w:after="100" w:before="0"/>
              <w:ind w:left="120" w:right="120"/>
            </w:pPr>
            <w:r>
              <w:rPr>
                <w:rFonts w:ascii="Inter" w:cs="Inter" w:eastAsia="Inter" w:hAnsi="Inter"/>
                <w:color w:val="3d4a5c"/>
                <w:sz w:val="18"/>
                <w:szCs w:val="18"/>
              </w:rPr>
              <w:t xml:space="preserve">Subtle fill for hover states and section backgrounds.</w:t>
            </w:r>
          </w:p>
        </w:tc>
      </w:tr>
      <w:tr>
        <w:tc>
          <w:tcPr>
            <w:tcW w:type="dxa" w:w="3360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0f172a" w:val="clear"/>
              <w:spacing w:after="0" w:before="0"/>
            </w:pPr>
            <w:r>
              <w:rPr>
                <w:rFonts w:ascii="Inter" w:cs="Inter" w:eastAsia="Inter" w:hAnsi="Inter"/>
                <w:sz w:val="48"/>
                <w:szCs w:val="48"/>
              </w:rPr>
              <w:t xml:space="preserve"> </w:t>
            </w:r>
          </w:p>
          <w:p>
            <w:pPr>
              <w:spacing w:after="20" w:before="80"/>
              <w:ind w:left="120" w:right="120"/>
            </w:pPr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Ink</w:t>
            </w:r>
          </w:p>
          <w:p>
            <w:pPr>
              <w:spacing w:after="20" w:before="0"/>
              <w:ind w:left="120" w:right="1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#0F172A</w:t>
            </w:r>
          </w:p>
          <w:p>
            <w:pPr>
              <w:spacing w:after="20" w:before="0"/>
              <w:ind w:left="120" w:right="120"/>
            </w:pPr>
            <w:r>
              <w:rPr>
                <w:rFonts w:ascii="Courier New" w:cs="Courier New" w:eastAsia="Courier New" w:hAnsi="Courier New"/>
                <w:color w:val="1e66f5"/>
                <w:sz w:val="16"/>
                <w:szCs w:val="16"/>
              </w:rPr>
              <w:t xml:space="preserve">--mk-ink</w:t>
            </w:r>
          </w:p>
          <w:p>
            <w:pPr>
              <w:spacing w:after="100" w:before="0"/>
              <w:ind w:left="120" w:right="120"/>
            </w:pPr>
            <w:r>
              <w:rPr>
                <w:rFonts w:ascii="Inter" w:cs="Inter" w:eastAsia="Inter" w:hAnsi="Inter"/>
                <w:color w:val="3d4a5c"/>
                <w:sz w:val="18"/>
                <w:szCs w:val="18"/>
              </w:rPr>
              <w:t xml:space="preserve">Primary text, headings, and dark UI elements.</w:t>
            </w:r>
          </w:p>
        </w:tc>
        <w:tc>
          <w:tcPr>
            <w:tcW w:type="dxa" w:w="3360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3d4a5c" w:val="clear"/>
              <w:spacing w:after="0" w:before="0"/>
            </w:pPr>
            <w:r>
              <w:rPr>
                <w:rFonts w:ascii="Inter" w:cs="Inter" w:eastAsia="Inter" w:hAnsi="Inter"/>
                <w:sz w:val="48"/>
                <w:szCs w:val="48"/>
              </w:rPr>
              <w:t xml:space="preserve"> </w:t>
            </w:r>
          </w:p>
          <w:p>
            <w:pPr>
              <w:spacing w:after="20" w:before="80"/>
              <w:ind w:left="120" w:right="120"/>
            </w:pPr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Ink Mid</w:t>
            </w:r>
          </w:p>
          <w:p>
            <w:pPr>
              <w:spacing w:after="20" w:before="0"/>
              <w:ind w:left="120" w:right="1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#3D4A5C</w:t>
            </w:r>
          </w:p>
          <w:p>
            <w:pPr>
              <w:spacing w:after="20" w:before="0"/>
              <w:ind w:left="120" w:right="120"/>
            </w:pPr>
            <w:r>
              <w:rPr>
                <w:rFonts w:ascii="Courier New" w:cs="Courier New" w:eastAsia="Courier New" w:hAnsi="Courier New"/>
                <w:color w:val="1e66f5"/>
                <w:sz w:val="16"/>
                <w:szCs w:val="16"/>
              </w:rPr>
              <w:t xml:space="preserve">--mk-ink-mid</w:t>
            </w:r>
          </w:p>
          <w:p>
            <w:pPr>
              <w:spacing w:after="100" w:before="0"/>
              <w:ind w:left="120" w:right="120"/>
            </w:pPr>
            <w:r>
              <w:rPr>
                <w:rFonts w:ascii="Inter" w:cs="Inter" w:eastAsia="Inter" w:hAnsi="Inter"/>
                <w:color w:val="3d4a5c"/>
                <w:sz w:val="18"/>
                <w:szCs w:val="18"/>
              </w:rPr>
              <w:t xml:space="preserve">Body text and secondary content.</w:t>
            </w:r>
          </w:p>
        </w:tc>
        <w:tc>
          <w:tcPr>
            <w:tcW w:type="dxa" w:w="3360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64748b" w:val="clear"/>
              <w:spacing w:after="0" w:before="0"/>
            </w:pPr>
            <w:r>
              <w:rPr>
                <w:rFonts w:ascii="Inter" w:cs="Inter" w:eastAsia="Inter" w:hAnsi="Inter"/>
                <w:sz w:val="48"/>
                <w:szCs w:val="48"/>
              </w:rPr>
              <w:t xml:space="preserve"> </w:t>
            </w:r>
          </w:p>
          <w:p>
            <w:pPr>
              <w:spacing w:after="20" w:before="80"/>
              <w:ind w:left="120" w:right="120"/>
            </w:pPr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Ink Soft</w:t>
            </w:r>
          </w:p>
          <w:p>
            <w:pPr>
              <w:spacing w:after="20" w:before="0"/>
              <w:ind w:left="120" w:right="1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#64748B</w:t>
            </w:r>
          </w:p>
          <w:p>
            <w:pPr>
              <w:spacing w:after="20" w:before="0"/>
              <w:ind w:left="120" w:right="120"/>
            </w:pPr>
            <w:r>
              <w:rPr>
                <w:rFonts w:ascii="Courier New" w:cs="Courier New" w:eastAsia="Courier New" w:hAnsi="Courier New"/>
                <w:color w:val="1e66f5"/>
                <w:sz w:val="16"/>
                <w:szCs w:val="16"/>
              </w:rPr>
              <w:t xml:space="preserve">--mk-ink-soft</w:t>
            </w:r>
          </w:p>
          <w:p>
            <w:pPr>
              <w:spacing w:after="100" w:before="0"/>
              <w:ind w:left="120" w:right="120"/>
            </w:pPr>
            <w:r>
              <w:rPr>
                <w:rFonts w:ascii="Inter" w:cs="Inter" w:eastAsia="Inter" w:hAnsi="Inter"/>
                <w:color w:val="3d4a5c"/>
                <w:sz w:val="18"/>
                <w:szCs w:val="18"/>
              </w:rPr>
              <w:t xml:space="preserve">Placeholder text, captions, metadata.</w:t>
            </w:r>
          </w:p>
        </w:tc>
      </w:tr>
      <w:tr>
        <w:tc>
          <w:tcPr>
            <w:tcW w:type="dxa" w:w="3360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dde1e8" w:val="clear"/>
              <w:spacing w:after="0" w:before="0"/>
            </w:pPr>
            <w:r>
              <w:rPr>
                <w:rFonts w:ascii="Inter" w:cs="Inter" w:eastAsia="Inter" w:hAnsi="Inter"/>
                <w:sz w:val="48"/>
                <w:szCs w:val="48"/>
              </w:rPr>
              <w:t xml:space="preserve"> </w:t>
            </w:r>
          </w:p>
          <w:p>
            <w:pPr>
              <w:spacing w:after="20" w:before="80"/>
              <w:ind w:left="120" w:right="120"/>
            </w:pPr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Line</w:t>
            </w:r>
          </w:p>
          <w:p>
            <w:pPr>
              <w:spacing w:after="20" w:before="0"/>
              <w:ind w:left="120" w:right="1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#DDE1E8</w:t>
            </w:r>
          </w:p>
          <w:p>
            <w:pPr>
              <w:spacing w:after="20" w:before="0"/>
              <w:ind w:left="120" w:right="120"/>
            </w:pPr>
            <w:r>
              <w:rPr>
                <w:rFonts w:ascii="Courier New" w:cs="Courier New" w:eastAsia="Courier New" w:hAnsi="Courier New"/>
                <w:color w:val="1e66f5"/>
                <w:sz w:val="16"/>
                <w:szCs w:val="16"/>
              </w:rPr>
              <w:t xml:space="preserve">--mk-line</w:t>
            </w:r>
          </w:p>
          <w:p>
            <w:pPr>
              <w:spacing w:after="100" w:before="0"/>
              <w:ind w:left="120" w:right="120"/>
            </w:pPr>
            <w:r>
              <w:rPr>
                <w:rFonts w:ascii="Inter" w:cs="Inter" w:eastAsia="Inter" w:hAnsi="Inter"/>
                <w:color w:val="3d4a5c"/>
                <w:sz w:val="18"/>
                <w:szCs w:val="18"/>
              </w:rPr>
              <w:t xml:space="preserve">Default borders and dividers.</w:t>
            </w:r>
          </w:p>
        </w:tc>
        <w:tc>
          <w:tcPr>
            <w:tcW w:type="dxa" w:w="3360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e8ecf1" w:val="clear"/>
              <w:spacing w:after="0" w:before="0"/>
            </w:pPr>
            <w:r>
              <w:rPr>
                <w:rFonts w:ascii="Inter" w:cs="Inter" w:eastAsia="Inter" w:hAnsi="Inter"/>
                <w:sz w:val="48"/>
                <w:szCs w:val="48"/>
              </w:rPr>
              <w:t xml:space="preserve"> </w:t>
            </w:r>
          </w:p>
          <w:p>
            <w:pPr>
              <w:spacing w:after="20" w:before="80"/>
              <w:ind w:left="120" w:right="120"/>
            </w:pPr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Line Soft</w:t>
            </w:r>
          </w:p>
          <w:p>
            <w:pPr>
              <w:spacing w:after="20" w:before="0"/>
              <w:ind w:left="120" w:right="1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#E8ECF1</w:t>
            </w:r>
          </w:p>
          <w:p>
            <w:pPr>
              <w:spacing w:after="20" w:before="0"/>
              <w:ind w:left="120" w:right="120"/>
            </w:pPr>
            <w:r>
              <w:rPr>
                <w:rFonts w:ascii="Courier New" w:cs="Courier New" w:eastAsia="Courier New" w:hAnsi="Courier New"/>
                <w:color w:val="1e66f5"/>
                <w:sz w:val="16"/>
                <w:szCs w:val="16"/>
              </w:rPr>
              <w:t xml:space="preserve">--mk-line-soft</w:t>
            </w:r>
          </w:p>
          <w:p>
            <w:pPr>
              <w:spacing w:after="100" w:before="0"/>
              <w:ind w:left="120" w:right="120"/>
            </w:pPr>
            <w:r>
              <w:rPr>
                <w:rFonts w:ascii="Inter" w:cs="Inter" w:eastAsia="Inter" w:hAnsi="Inter"/>
                <w:color w:val="3d4a5c"/>
                <w:sz w:val="18"/>
                <w:szCs w:val="18"/>
              </w:rPr>
              <w:t xml:space="preserve">Subtle row separators inside lists.</w:t>
            </w:r>
          </w:p>
        </w:tc>
        <w:tc>
          <w:tcPr>
            <w:tcW w:type="dxa" w:w="3360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1e66f5" w:val="clear"/>
              <w:spacing w:after="0" w:before="0"/>
            </w:pPr>
            <w:r>
              <w:rPr>
                <w:rFonts w:ascii="Inter" w:cs="Inter" w:eastAsia="Inter" w:hAnsi="Inter"/>
                <w:sz w:val="48"/>
                <w:szCs w:val="48"/>
              </w:rPr>
              <w:t xml:space="preserve"> </w:t>
            </w:r>
          </w:p>
          <w:p>
            <w:pPr>
              <w:spacing w:after="20" w:before="80"/>
              <w:ind w:left="120" w:right="120"/>
            </w:pPr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Accent</w:t>
            </w:r>
          </w:p>
          <w:p>
            <w:pPr>
              <w:spacing w:after="20" w:before="0"/>
              <w:ind w:left="120" w:right="1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#1E66F5</w:t>
            </w:r>
          </w:p>
          <w:p>
            <w:pPr>
              <w:spacing w:after="20" w:before="0"/>
              <w:ind w:left="120" w:right="120"/>
            </w:pPr>
            <w:r>
              <w:rPr>
                <w:rFonts w:ascii="Courier New" w:cs="Courier New" w:eastAsia="Courier New" w:hAnsi="Courier New"/>
                <w:color w:val="1e66f5"/>
                <w:sz w:val="16"/>
                <w:szCs w:val="16"/>
              </w:rPr>
              <w:t xml:space="preserve">--mk-accent</w:t>
            </w:r>
          </w:p>
          <w:p>
            <w:pPr>
              <w:spacing w:after="100" w:before="0"/>
              <w:ind w:left="120" w:right="120"/>
            </w:pPr>
            <w:r>
              <w:rPr>
                <w:rFonts w:ascii="Inter" w:cs="Inter" w:eastAsia="Inter" w:hAnsi="Inter"/>
                <w:color w:val="3d4a5c"/>
                <w:sz w:val="18"/>
                <w:szCs w:val="18"/>
              </w:rPr>
              <w:t xml:space="preserve">Brand blue. CTAs, links, focus rings.</w:t>
            </w:r>
          </w:p>
        </w:tc>
      </w:tr>
      <w:tr>
        <w:tc>
          <w:tcPr>
            <w:tcW w:type="dxa" w:w="3360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e6eefe" w:val="clear"/>
              <w:spacing w:after="0" w:before="0"/>
            </w:pPr>
            <w:r>
              <w:rPr>
                <w:rFonts w:ascii="Inter" w:cs="Inter" w:eastAsia="Inter" w:hAnsi="Inter"/>
                <w:sz w:val="48"/>
                <w:szCs w:val="48"/>
              </w:rPr>
              <w:t xml:space="preserve"> </w:t>
            </w:r>
          </w:p>
          <w:p>
            <w:pPr>
              <w:spacing w:after="20" w:before="80"/>
              <w:ind w:left="120" w:right="120"/>
            </w:pPr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Accent Soft</w:t>
            </w:r>
          </w:p>
          <w:p>
            <w:pPr>
              <w:spacing w:after="20" w:before="0"/>
              <w:ind w:left="120" w:right="1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#E6EEFE</w:t>
            </w:r>
          </w:p>
          <w:p>
            <w:pPr>
              <w:spacing w:after="20" w:before="0"/>
              <w:ind w:left="120" w:right="120"/>
            </w:pPr>
            <w:r>
              <w:rPr>
                <w:rFonts w:ascii="Courier New" w:cs="Courier New" w:eastAsia="Courier New" w:hAnsi="Courier New"/>
                <w:color w:val="1e66f5"/>
                <w:sz w:val="16"/>
                <w:szCs w:val="16"/>
              </w:rPr>
              <w:t xml:space="preserve">--mk-accent-soft</w:t>
            </w:r>
          </w:p>
          <w:p>
            <w:pPr>
              <w:spacing w:after="100" w:before="0"/>
              <w:ind w:left="120" w:right="120"/>
            </w:pPr>
            <w:r>
              <w:rPr>
                <w:rFonts w:ascii="Inter" w:cs="Inter" w:eastAsia="Inter" w:hAnsi="Inter"/>
                <w:color w:val="3d4a5c"/>
                <w:sz w:val="18"/>
                <w:szCs w:val="18"/>
              </w:rPr>
              <w:t xml:space="preserve">Tinted background for badges and icon wells.</w:t>
            </w:r>
          </w:p>
        </w:tc>
        <w:tc>
          <w:tcPr>
            <w:tcW w:type="dxa" w:w="3360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ffffff" w:val="clear"/>
              <w:spacing w:after="0" w:before="0"/>
            </w:pPr>
            <w:r>
              <w:rPr>
                <w:rFonts w:ascii="Inter" w:cs="Inter" w:eastAsia="Inter" w:hAnsi="Inter"/>
                <w:sz w:val="48"/>
                <w:szCs w:val="48"/>
              </w:rPr>
              <w:t xml:space="preserve"> </w:t>
            </w:r>
          </w:p>
          <w:p>
            <w:pPr>
              <w:spacing w:after="20" w:before="80"/>
              <w:ind w:left="120" w:right="120"/>
            </w:pPr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Accent Fg</w:t>
            </w:r>
          </w:p>
          <w:p>
            <w:pPr>
              <w:spacing w:after="20" w:before="0"/>
              <w:ind w:left="120" w:right="1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#FFFFFF</w:t>
            </w:r>
          </w:p>
          <w:p>
            <w:pPr>
              <w:spacing w:after="20" w:before="0"/>
              <w:ind w:left="120" w:right="120"/>
            </w:pPr>
            <w:r>
              <w:rPr>
                <w:rFonts w:ascii="Courier New" w:cs="Courier New" w:eastAsia="Courier New" w:hAnsi="Courier New"/>
                <w:color w:val="1e66f5"/>
                <w:sz w:val="16"/>
                <w:szCs w:val="16"/>
              </w:rPr>
              <w:t xml:space="preserve">--mk-accent-fg</w:t>
            </w:r>
          </w:p>
          <w:p>
            <w:pPr>
              <w:spacing w:after="100" w:before="0"/>
              <w:ind w:left="120" w:right="120"/>
            </w:pPr>
            <w:r>
              <w:rPr>
                <w:rFonts w:ascii="Inter" w:cs="Inter" w:eastAsia="Inter" w:hAnsi="Inter"/>
                <w:color w:val="3d4a5c"/>
                <w:sz w:val="18"/>
                <w:szCs w:val="18"/>
              </w:rPr>
              <w:t xml:space="preserve">Text on accent-coloured backgrounds.</w:t>
            </w:r>
          </w:p>
        </w:tc>
        <w:tc>
          <w:tcPr>
            <w:tcW w:type="dxa" w:w="3360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0f172a" w:val="clear"/>
              <w:spacing w:after="0" w:before="0"/>
            </w:pPr>
            <w:r>
              <w:rPr>
                <w:rFonts w:ascii="Inter" w:cs="Inter" w:eastAsia="Inter" w:hAnsi="Inter"/>
                <w:sz w:val="48"/>
                <w:szCs w:val="48"/>
              </w:rPr>
              <w:t xml:space="preserve"> </w:t>
            </w:r>
          </w:p>
          <w:p>
            <w:pPr>
              <w:spacing w:after="20" w:before="80"/>
              <w:ind w:left="120" w:right="120"/>
            </w:pPr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Dark Panel</w:t>
            </w:r>
          </w:p>
          <w:p>
            <w:pPr>
              <w:spacing w:after="20" w:before="0"/>
              <w:ind w:left="120" w:right="1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#0F172A</w:t>
            </w:r>
          </w:p>
          <w:p>
            <w:pPr>
              <w:spacing w:after="20" w:before="0"/>
              <w:ind w:left="120" w:right="120"/>
            </w:pPr>
            <w:r>
              <w:rPr>
                <w:rFonts w:ascii="Courier New" w:cs="Courier New" w:eastAsia="Courier New" w:hAnsi="Courier New"/>
                <w:color w:val="1e66f5"/>
                <w:sz w:val="16"/>
                <w:szCs w:val="16"/>
              </w:rPr>
              <w:t xml:space="preserve">--mk-ink (inverted)</w:t>
            </w:r>
          </w:p>
          <w:p>
            <w:pPr>
              <w:spacing w:after="100" w:before="0"/>
              <w:ind w:left="120" w:right="120"/>
            </w:pPr>
            <w:r>
              <w:rPr>
                <w:rFonts w:ascii="Inter" w:cs="Inter" w:eastAsia="Inter" w:hAnsi="Inter"/>
                <w:color w:val="3d4a5c"/>
                <w:sz w:val="18"/>
                <w:szCs w:val="18"/>
              </w:rPr>
              <w:t xml:space="preserve">Dark section background. Same as Ink token.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120" w:before="400"/>
      </w:pPr>
      <w:r>
        <w:rPr>
          <w:rFonts w:ascii="Inter" w:cs="Inter" w:eastAsia="Inter" w:hAnsi="Inter"/>
          <w:b/>
          <w:bCs/>
          <w:color w:val="0f172a"/>
          <w:sz w:val="36"/>
          <w:szCs w:val="36"/>
        </w:rPr>
        <w:t xml:space="preserve">2. Typography</w:t>
      </w:r>
    </w:p>
    <w:p>
      <w:pPr>
        <w:spacing w:after="100" w:before="0"/>
      </w:pPr>
      <w:r>
        <w:rPr>
          <w:rFonts w:ascii="Inter" w:cs="Inter" w:eastAsia="Inter" w:hAnsi="Inter"/>
          <w:color w:val="3d4a5c"/>
          <w:sz w:val="22"/>
          <w:szCs w:val="22"/>
        </w:rPr>
        <w:t xml:space="preserve">The typeface across all surfaces is Inter (Google Fonts). Font smoothing is set to antialiased. Headings use negative letter-spacing; body text runs at 1.6–1.75 line height.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Inter" w:cs="Inter" w:eastAsia="Inter" w:hAnsi="Inter"/>
          <w:b/>
          <w:bCs/>
          <w:color w:val="0f172a"/>
          <w:sz w:val="26"/>
          <w:szCs w:val="26"/>
        </w:rPr>
        <w:t xml:space="preserve">2.1 Type Scale</w:t>
      </w:r>
    </w:p>
    <w:p>
      <w:pPr>
        <w:spacing w:after="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4233"/>
        <w:gridCol w:w="3025"/>
      </w:tblGrid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Property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Value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Hero H1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clamp(32px, 4.2vw, 54px)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font-weight: 900, letter-spacing: -2px, line-height: 1.05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Hero Subtitle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clamp(18px, 2vw, 22px)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font-weight: 400, line-height: 1.5, color: --mk-ink-mid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Section H2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clamp(30px, 3vw, 44px)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font-weight: 900, letter-spacing: -1.5px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Page H1 (legal)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clamp(32px, 4vw, 48px)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font-weight: 800, letter-spacing: -1.5px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Section H3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18px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font-weight: 700, letter-spacing: -0.3px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Nav Logo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20px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font-weight: 800, letter-spacing: -0.4px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Body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16–18px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font-weight: 400, line-height: 1.7, color: --mk-ink-mid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Small / meta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13–14px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font-weight: 500–600, color: --mk-ink-soft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Eyebrow label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12–13px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font-weight: 700, text-transform: UPPERCASE, letter-spacing: 0.06–0.08em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Code / monospace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inherit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font-family: ui-monospace, Menlo, monospace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Inter" w:cs="Inter" w:eastAsia="Inter" w:hAnsi="Inter"/>
          <w:b/>
          <w:bCs/>
          <w:color w:val="0f172a"/>
          <w:sz w:val="26"/>
          <w:szCs w:val="26"/>
        </w:rPr>
        <w:t xml:space="preserve">2.2 Hierarchy Rules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3d4a5c"/>
          <w:sz w:val="22"/>
          <w:szCs w:val="22"/>
        </w:rPr>
        <w:t xml:space="preserve">Never skip heading levels. H1 → H2 → H3.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3d4a5c"/>
          <w:sz w:val="22"/>
          <w:szCs w:val="22"/>
        </w:rPr>
        <w:t xml:space="preserve">Headings use --mk-ink (#0f172a). Body copy uses --mk-ink-mid (#3d4a5c).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3d4a5c"/>
          <w:sz w:val="22"/>
          <w:szCs w:val="22"/>
        </w:rPr>
        <w:t xml:space="preserve">Eyebrow labels sit above section H2s. They use --mk-accent in light sections and #6ea3ff in dark sections.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3d4a5c"/>
          <w:sz w:val="22"/>
          <w:szCs w:val="22"/>
        </w:rPr>
        <w:t xml:space="preserve">clamp() is used for fluid scaling on hero and section headings — never fixed px on top-level headings.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Inter" w:cs="Inter" w:eastAsia="Inter" w:hAnsi="Inter"/>
          <w:b/>
          <w:bCs/>
          <w:color w:val="0f172a"/>
          <w:sz w:val="36"/>
          <w:szCs w:val="36"/>
        </w:rPr>
        <w:t xml:space="preserve">3. Layout &amp; Spacing</w:t>
      </w:r>
    </w:p>
    <w:p>
      <w:pPr>
        <w:spacing w:after="0" w:before="60"/>
      </w:pPr>
    </w:p>
    <w:p>
      <w:pPr>
        <w:pStyle w:val="Heading2"/>
        <w:spacing w:after="80" w:before="280"/>
      </w:pPr>
      <w:r>
        <w:rPr>
          <w:rFonts w:ascii="Inter" w:cs="Inter" w:eastAsia="Inter" w:hAnsi="Inter"/>
          <w:b/>
          <w:bCs/>
          <w:color w:val="0f172a"/>
          <w:sz w:val="26"/>
          <w:szCs w:val="26"/>
        </w:rPr>
        <w:t xml:space="preserve">3.1 Container</w:t>
      </w:r>
    </w:p>
    <w:p>
      <w:pPr>
        <w:spacing w:after="100" w:before="0"/>
      </w:pPr>
      <w:r>
        <w:rPr>
          <w:rFonts w:ascii="Inter" w:cs="Inter" w:eastAsia="Inter" w:hAnsi="Inter"/>
          <w:color w:val="3d4a5c"/>
          <w:sz w:val="22"/>
          <w:szCs w:val="22"/>
        </w:rPr>
        <w:t xml:space="preserve">The page uses a single centred container capped at 1200px with 24px horizontal padding on all sides. A narrow variant (max-width: 860px) is used for long-form text sections.</w:t>
      </w:r>
    </w:p>
    <w:p>
      <w:pPr>
        <w:spacing w:after="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4233"/>
        <w:gridCol w:w="3025"/>
      </w:tblGrid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Property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Value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Max width (wide)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1200px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Used for all sections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Max width (narrow)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860px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Long-form and legal content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Horizontal padding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24px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Applied via .mk-container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Inter" w:cs="Inter" w:eastAsia="Inter" w:hAnsi="Inter"/>
          <w:b/>
          <w:bCs/>
          <w:color w:val="0f172a"/>
          <w:sz w:val="26"/>
          <w:szCs w:val="26"/>
        </w:rPr>
        <w:t xml:space="preserve">3.2 Section Spacing</w:t>
      </w:r>
    </w:p>
    <w:p>
      <w:pPr>
        <w:spacing w:after="100" w:before="0"/>
      </w:pPr>
      <w:r>
        <w:rPr>
          <w:rFonts w:ascii="Inter" w:cs="Inter" w:eastAsia="Inter" w:hAnsi="Inter"/>
          <w:color w:val="3d4a5c"/>
          <w:sz w:val="22"/>
          <w:szCs w:val="22"/>
        </w:rPr>
        <w:t xml:space="preserve">Vertical rhythm is built on an 8px base unit. Major sections use 100px top/bottom padding. The hero does not follow this rule — it has a full-bleed gradient and the inner content controls its own padding.</w:t>
      </w:r>
    </w:p>
    <w:p>
      <w:pPr>
        <w:spacing w:after="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4233"/>
        <w:gridCol w:w="3025"/>
      </w:tblGrid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Property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Value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Section padding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100px top / 100px bottom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Standard .mk-section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Hero inner padding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80px top / 72px bottom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.mk-hero__split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Between section items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64px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Gaps between feature rows, steps, etc.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Card padding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24–32px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Content padding inside cards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Gap between cards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16–20px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Grid gap in feature and article grids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Inter" w:cs="Inter" w:eastAsia="Inter" w:hAnsi="Inter"/>
          <w:b/>
          <w:bCs/>
          <w:color w:val="0f172a"/>
          <w:sz w:val="26"/>
          <w:szCs w:val="26"/>
        </w:rPr>
        <w:t xml:space="preserve">3.3 Responsive Breakpoints</w:t>
      </w:r>
    </w:p>
    <w:p>
      <w:pPr>
        <w:spacing w:after="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4233"/>
        <w:gridCol w:w="3025"/>
      </w:tblGrid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Property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Value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Desktop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≥ 900px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Full two-column hero, horizontal nav, side-by-side layouts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Tablet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641–899px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Single-column hero, nav links hidden, stacked grids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Mobile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≤ 640px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Demo iframe hidden, reduced padding, stacked footer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Inter" w:cs="Inter" w:eastAsia="Inter" w:hAnsi="Inter"/>
          <w:b/>
          <w:bCs/>
          <w:color w:val="0f172a"/>
          <w:sz w:val="36"/>
          <w:szCs w:val="36"/>
        </w:rPr>
        <w:t xml:space="preserve">4. Components</w:t>
      </w:r>
    </w:p>
    <w:p>
      <w:pPr>
        <w:pStyle w:val="Heading2"/>
        <w:spacing w:after="80" w:before="280"/>
      </w:pPr>
      <w:r>
        <w:rPr>
          <w:rFonts w:ascii="Inter" w:cs="Inter" w:eastAsia="Inter" w:hAnsi="Inter"/>
          <w:b/>
          <w:bCs/>
          <w:color w:val="0f172a"/>
          <w:sz w:val="26"/>
          <w:szCs w:val="26"/>
        </w:rPr>
        <w:t xml:space="preserve">4.1 Buttons</w:t>
      </w:r>
    </w:p>
    <w:p>
      <w:pPr>
        <w:spacing w:after="100" w:before="0"/>
      </w:pPr>
      <w:r>
        <w:rPr>
          <w:rFonts w:ascii="Inter" w:cs="Inter" w:eastAsia="Inter" w:hAnsi="Inter"/>
          <w:color w:val="3d4a5c"/>
          <w:sz w:val="22"/>
          <w:szCs w:val="22"/>
        </w:rPr>
        <w:t xml:space="preserve">All buttons share a base class (.mk-btn) that sets height, padding, border-radius, font, and transition. Variants control colour. There are three sizes.</w:t>
      </w:r>
    </w:p>
    <w:p>
      <w:pPr>
        <w:spacing w:after="0" w:before="80"/>
      </w:pPr>
    </w:p>
    <w:p>
      <w:pPr>
        <w:spacing w:after="60" w:before="160"/>
      </w:pPr>
      <w:r>
        <w:rPr>
          <w:rFonts w:ascii="Inter" w:cs="Inter" w:eastAsia="Inter" w:hAnsi="Inter"/>
          <w:b/>
          <w:bCs/>
          <w:caps/>
          <w:color w:val="64748b"/>
          <w:sz w:val="18"/>
          <w:szCs w:val="18"/>
        </w:rPr>
        <w:t xml:space="preserve">Base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4233"/>
        <w:gridCol w:w="3025"/>
      </w:tblGrid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Property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Value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Height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48px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Default size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Padding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0 20px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Border radius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10px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Font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Inter, 15px, 700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Transition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opacity 0.1s ease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Used for hover state</w:t>
            </w:r>
          </w:p>
        </w:tc>
      </w:tr>
    </w:tbl>
    <w:p>
      <w:pPr>
        <w:spacing w:after="0" w:before="160"/>
      </w:pPr>
    </w:p>
    <w:p>
      <w:pPr>
        <w:spacing w:after="60" w:before="160"/>
      </w:pPr>
      <w:r>
        <w:rPr>
          <w:rFonts w:ascii="Inter" w:cs="Inter" w:eastAsia="Inter" w:hAnsi="Inter"/>
          <w:b/>
          <w:bCs/>
          <w:caps/>
          <w:color w:val="64748b"/>
          <w:sz w:val="18"/>
          <w:szCs w:val="18"/>
        </w:rPr>
        <w:t xml:space="preserve">Variants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4233"/>
        <w:gridCol w:w="3025"/>
      </w:tblGrid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Property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Value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Primary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bg: --mk-accent (#1e66f5), text: white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Main CTA. Hover: opacity 0.9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Secondary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bg: white, border: --mk-line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Outline button for secondary actions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White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bg: white, text: --mk-ink, no border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Used on dark sections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Accent Large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bg: --mk-accent, h: 56px, 17px, 0 28px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CTA band button</w:t>
            </w:r>
          </w:p>
        </w:tc>
      </w:tr>
    </w:tbl>
    <w:p>
      <w:pPr>
        <w:spacing w:after="0" w:before="160"/>
      </w:pPr>
    </w:p>
    <w:p>
      <w:pPr>
        <w:spacing w:after="60" w:before="160"/>
      </w:pPr>
      <w:r>
        <w:rPr>
          <w:rFonts w:ascii="Inter" w:cs="Inter" w:eastAsia="Inter" w:hAnsi="Inter"/>
          <w:b/>
          <w:bCs/>
          <w:caps/>
          <w:color w:val="64748b"/>
          <w:sz w:val="18"/>
          <w:szCs w:val="18"/>
        </w:rPr>
        <w:t xml:space="preserve">Sizes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4233"/>
        <w:gridCol w:w="3025"/>
      </w:tblGrid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Property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Value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Large (--lg)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56px height, 17px font, 0 28px padding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Search button, CTA band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Default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48px height, 15px font, 0 20px padding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Nav, hero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Small (--sm)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38px height, 13px font, 0 14px padding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Nav CTA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Inter" w:cs="Inter" w:eastAsia="Inter" w:hAnsi="Inter"/>
          <w:b/>
          <w:bCs/>
          <w:color w:val="0f172a"/>
          <w:sz w:val="26"/>
          <w:szCs w:val="26"/>
        </w:rPr>
        <w:t xml:space="preserve">4.2 Form Inputs</w:t>
      </w:r>
    </w:p>
    <w:p>
      <w:pPr>
        <w:spacing w:after="100" w:before="0"/>
      </w:pPr>
      <w:r>
        <w:rPr>
          <w:rFonts w:ascii="Inter" w:cs="Inter" w:eastAsia="Inter" w:hAnsi="Inter"/>
          <w:color w:val="3d4a5c"/>
          <w:sz w:val="22"/>
          <w:szCs w:val="22"/>
        </w:rPr>
        <w:t xml:space="preserve">Input fields are consistent across the marketing search box, auth pages, and setup wizard. All inputs use the same height, font, border, and focus ring.</w:t>
      </w: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4233"/>
        <w:gridCol w:w="3025"/>
      </w:tblGrid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Property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Value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Height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44px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text, email, password, url, tel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Font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Inter, 15px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Border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1.5–2px solid #dde1e8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At rest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Border radius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8px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Standard fields; 16px for hero search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Background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#ffffff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Focus border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#1e66f5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--mk-accent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Focus ring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0 0 0 3px rgba(30, 102, 245, 0.12)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Soft glow, not opaque outline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Placeholder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#64748b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--mk-ink-soft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Label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Inter, 14px, 700, #0f172a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Above every input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Textarea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15px font, 1.6 line-height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Same border and focus rules</w:t>
            </w:r>
          </w:p>
        </w:tc>
      </w:tr>
    </w:tbl>
    <w:p>
      <w:pPr>
        <w:spacing w:after="0" w:before="80"/>
      </w:pPr>
    </w:p>
    <w:p>
      <w:pPr>
        <w:spacing w:after="100" w:before="0"/>
      </w:pPr>
      <w:r>
        <w:rPr>
          <w:rFonts w:ascii="Inter" w:cs="Inter" w:eastAsia="Inter" w:hAnsi="Inter"/>
          <w:color w:val="3d4a5c"/>
          <w:sz w:val="22"/>
          <w:szCs w:val="22"/>
        </w:rPr>
        <w:t xml:space="preserve">The hero search box is an exception: it is larger (20px font, 14px inner padding) and uses a 16px border-radius to feel like a distinct search surface rather than a standard form field. On focus it gains a 6px blue glow ring.</w:t>
      </w:r>
    </w:p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Inter" w:cs="Inter" w:eastAsia="Inter" w:hAnsi="Inter"/>
          <w:b/>
          <w:bCs/>
          <w:color w:val="0f172a"/>
          <w:sz w:val="26"/>
          <w:szCs w:val="26"/>
        </w:rPr>
        <w:t xml:space="preserve">4.3 Cards</w:t>
      </w:r>
    </w:p>
    <w:p>
      <w:pPr>
        <w:spacing w:after="100" w:before="0"/>
      </w:pPr>
      <w:r>
        <w:rPr>
          <w:rFonts w:ascii="Inter" w:cs="Inter" w:eastAsia="Inter" w:hAnsi="Inter"/>
          <w:color w:val="3d4a5c"/>
          <w:sz w:val="22"/>
          <w:szCs w:val="22"/>
        </w:rPr>
        <w:t xml:space="preserve">Cards are the primary content container across the help centre, features section, and topic grids. They share a surface background, line border, and hover state.</w:t>
      </w: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4233"/>
        <w:gridCol w:w="3025"/>
      </w:tblGrid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Property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Value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Background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#ffffff (--mk-surface)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Border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1px solid #dde1e8 (--mk-line)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At rest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Border radius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14–16px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14px for article cards, 16px for info cards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Padding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24–28px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Hover border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#1e66f5 (--mk-accent)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Hover shadow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0 4px 20px rgba(30,102,245,0.08)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Soft blue tint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Transition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border-color 0.15s, box-shadow 0.15s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Inter" w:cs="Inter" w:eastAsia="Inter" w:hAnsi="Inter"/>
          <w:b/>
          <w:bCs/>
          <w:color w:val="0f172a"/>
          <w:sz w:val="26"/>
          <w:szCs w:val="26"/>
        </w:rPr>
        <w:t xml:space="preserve">4.4 Navigation</w:t>
      </w: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4233"/>
        <w:gridCol w:w="3025"/>
      </w:tblGrid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Property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Value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Position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sticky top: 0, z-index: 40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Height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~66px (14px top+bottom padding)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Background (top)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rgba(238,244,255,0.92) + blur(8px)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Hero gradient continuation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Background (scrolled)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rgba(255,255,255,0.92) + blur(8px)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Transitions after 60px scroll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Border bottom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1px solid #e8ecf1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Only visible when scrolled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Logo font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Inter, 20px, 800, –0.4px tracking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Nav link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Inter, 15px, 600, --mk-ink-mid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Hover: --mk-panel bg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Sign in link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15px, 600, --mk-ink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Ghost button, hover bg: --mk-panel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Get started CTA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Primary button, small (38px)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Blue filled button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Inter" w:cs="Inter" w:eastAsia="Inter" w:hAnsi="Inter"/>
          <w:b/>
          <w:bCs/>
          <w:color w:val="0f172a"/>
          <w:sz w:val="26"/>
          <w:szCs w:val="26"/>
        </w:rPr>
        <w:t xml:space="preserve">4.5 Badges &amp; Pills</w:t>
      </w: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4233"/>
        <w:gridCol w:w="3025"/>
      </w:tblGrid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Property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Value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Accent badge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bg: --mk-accent-soft (#e6eefe), text: --mk-accent, 12px, 700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Category labels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Outline badge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bg: --mk-panel (#edf1f8), text: --mk-ink-mid, 12px, 700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Neutral labels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Hero pill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bg: --mk-accent-soft, border: rgba(30,102,245,0.15)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Above H1. Has a dot indicator + bold text.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Border radius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6px for badges, 999px for pills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Padding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3px 10px (badges), 8px 14px (pills)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Inter" w:cs="Inter" w:eastAsia="Inter" w:hAnsi="Inter"/>
          <w:b/>
          <w:bCs/>
          <w:color w:val="0f172a"/>
          <w:sz w:val="26"/>
          <w:szCs w:val="26"/>
        </w:rPr>
        <w:t xml:space="preserve">4.6 Icons &amp; Icon Wells</w:t>
      </w: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4233"/>
        <w:gridCol w:w="3025"/>
      </w:tblGrid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Property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Value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Icon set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Lucide (stroke-based)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stroke="currentColor", fill="none"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Icon size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20–22px in wells, 16px inline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Well size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40–44px square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Well radius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10px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Well bg (light)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--mk-accent-soft (#e6eefe)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Well bg (dark)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rgba(30, 102, 245, 0.18)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Inside dark panel section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Well icon colour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--mk-accent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Stroke width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2px standard, 2.5px for emphasis (search)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Inter" w:cs="Inter" w:eastAsia="Inter" w:hAnsi="Inter"/>
          <w:b/>
          <w:bCs/>
          <w:color w:val="0f172a"/>
          <w:sz w:val="36"/>
          <w:szCs w:val="36"/>
        </w:rPr>
        <w:t xml:space="preserve">5. Page Sections</w:t>
      </w:r>
    </w:p>
    <w:p>
      <w:pPr>
        <w:pStyle w:val="Heading2"/>
        <w:spacing w:after="80" w:before="280"/>
      </w:pPr>
      <w:r>
        <w:rPr>
          <w:rFonts w:ascii="Inter" w:cs="Inter" w:eastAsia="Inter" w:hAnsi="Inter"/>
          <w:b/>
          <w:bCs/>
          <w:color w:val="0f172a"/>
          <w:sz w:val="26"/>
          <w:szCs w:val="26"/>
        </w:rPr>
        <w:t xml:space="preserve">5.1 Hero</w:t>
      </w:r>
    </w:p>
    <w:p>
      <w:pPr>
        <w:spacing w:after="100" w:before="0"/>
      </w:pPr>
      <w:r>
        <w:rPr>
          <w:rFonts w:ascii="Inter" w:cs="Inter" w:eastAsia="Inter" w:hAnsi="Inter"/>
          <w:color w:val="3d4a5c"/>
          <w:sz w:val="22"/>
          <w:szCs w:val="22"/>
        </w:rPr>
        <w:t xml:space="preserve">The hero is full-width with a vertical gradient from #eef4ff (top) to #ffffff (bottom). At desktop it is a 50/50 two-column grid: copy on the left, a browser mockup iframe on the right.</w:t>
      </w: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4233"/>
        <w:gridCol w:w="3025"/>
      </w:tblGrid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Property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Value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Background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linear-gradient(180deg, #eef4ff 0%, #fff 100%)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Grid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1fr 1fr, gap: 56px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Desktop only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H1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clamp(32px, 4.2vw, 54px), weight 900, –2px tracking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Subheading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clamp(18px, 2vw, 22px), weight 400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Max-width: 520px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Search box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2px solid --mk-line, radius: 16px, shadow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Turns blue on focus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CTA button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Primary large (56px, 17px)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Full width on mobile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Trust bullets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14px, --mk-ink-soft, with check icons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Below CTA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Demo iframe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900px viewport, scaled to container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Hidden on ≤ 640px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Inter" w:cs="Inter" w:eastAsia="Inter" w:hAnsi="Inter"/>
          <w:b/>
          <w:bCs/>
          <w:color w:val="0f172a"/>
          <w:sz w:val="26"/>
          <w:szCs w:val="26"/>
        </w:rPr>
        <w:t xml:space="preserve">5.2 Feature Sections (Light)</w:t>
      </w:r>
    </w:p>
    <w:p>
      <w:pPr>
        <w:spacing w:after="100" w:before="0"/>
      </w:pPr>
      <w:r>
        <w:rPr>
          <w:rFonts w:ascii="Inter" w:cs="Inter" w:eastAsia="Inter" w:hAnsi="Inter"/>
          <w:color w:val="3d4a5c"/>
          <w:sz w:val="22"/>
          <w:szCs w:val="22"/>
        </w:rPr>
        <w:t xml:space="preserve">Standard content sections use a white background, centred eyebrow + H2, and a responsive grid of feature cells. Most grids are 3-column on desktop, collapsing to 2 then 1.</w:t>
      </w: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4233"/>
        <w:gridCol w:w="3025"/>
      </w:tblGrid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Property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Value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Section padding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100px top/bottom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Eyebrow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13px, 700, uppercase, --mk-accent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Above H2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Section H2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clamp(30px, 3vw, 44px), 900, –1.5px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Centred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Grid columns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3 on desktop, 2 on tablet, 1 on mobile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Feature cell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White bg, no border, padding: 28–32px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Separated by grid gap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Cell icon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Accent-soft well, 40px, 10px radius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Cell title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18px, 700, --mk-ink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Cell description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15–16px, --mk-ink-mid, 1.6 line-height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Inter" w:cs="Inter" w:eastAsia="Inter" w:hAnsi="Inter"/>
          <w:b/>
          <w:bCs/>
          <w:color w:val="0f172a"/>
          <w:sz w:val="26"/>
          <w:szCs w:val="26"/>
        </w:rPr>
        <w:t xml:space="preserve">5.3 Dark Panel Section ("What You Get")</w:t>
      </w:r>
    </w:p>
    <w:p>
      <w:pPr>
        <w:spacing w:after="100" w:before="0"/>
      </w:pPr>
      <w:r>
        <w:rPr>
          <w:rFonts w:ascii="Inter" w:cs="Inter" w:eastAsia="Inter" w:hAnsi="Inter"/>
          <w:color w:val="3d4a5c"/>
          <w:sz w:val="22"/>
          <w:szCs w:val="22"/>
        </w:rPr>
        <w:t xml:space="preserve">The features grid is presented on a dark navy background to create visual contrast and break up the page. Text, icon wells, and grid gaps are all adapted for dark mode.</w:t>
      </w: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4233"/>
        <w:gridCol w:w="3025"/>
      </w:tblGrid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Property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Value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Section bg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#0f172a (--mk-ink)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Grid gap fill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rgba(255,255,255,0.08)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Creates hairline separators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Cell bg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#0f172a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Matches section bg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Eyebrow colour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#6ea3ff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Lightened accent for dark bg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H2 colour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#ffffff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Icon well bg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rgba(30,102,245,0.18)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Cell title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#ffffff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Cell description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rgba(255,255,255,0.55)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Inter" w:cs="Inter" w:eastAsia="Inter" w:hAnsi="Inter"/>
          <w:b/>
          <w:bCs/>
          <w:color w:val="0f172a"/>
          <w:sz w:val="26"/>
          <w:szCs w:val="26"/>
        </w:rPr>
        <w:t xml:space="preserve">5.4 CTA Band</w:t>
      </w:r>
    </w:p>
    <w:p>
      <w:pPr>
        <w:spacing w:after="100" w:before="0"/>
      </w:pPr>
      <w:r>
        <w:rPr>
          <w:rFonts w:ascii="Inter" w:cs="Inter" w:eastAsia="Inter" w:hAnsi="Inter"/>
          <w:color w:val="3d4a5c"/>
          <w:sz w:val="22"/>
          <w:szCs w:val="22"/>
        </w:rPr>
        <w:t xml:space="preserve">A full-width dark navy band near the bottom of the page with a bold headline, subtext, and a large button. Uses the same dark background as the panel section.</w:t>
      </w: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4233"/>
        <w:gridCol w:w="3025"/>
      </w:tblGrid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Property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Value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Background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#0f172a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Headline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clamp(28px, 3.5vw, 40px), 900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White text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Subtext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18–20px, rgba(255,255,255,0.65)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Button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Accent large (56px)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Primary filled, white text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Tagline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14px, rgba(255,255,255,0.5)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"A website in the time it takes to make a brew"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Inter" w:cs="Inter" w:eastAsia="Inter" w:hAnsi="Inter"/>
          <w:b/>
          <w:bCs/>
          <w:color w:val="0f172a"/>
          <w:sz w:val="26"/>
          <w:szCs w:val="26"/>
        </w:rPr>
        <w:t xml:space="preserve">5.5 Footer</w:t>
      </w:r>
    </w:p>
    <w:p>
      <w:pPr>
        <w:spacing w:after="100" w:before="0"/>
      </w:pPr>
      <w:r>
        <w:rPr>
          <w:rFonts w:ascii="Inter" w:cs="Inter" w:eastAsia="Inter" w:hAnsi="Inter"/>
          <w:color w:val="3d4a5c"/>
          <w:sz w:val="22"/>
          <w:szCs w:val="22"/>
        </w:rPr>
        <w:t xml:space="preserve">Dark navy footer with a two-column grid: brand/tagline on the left, three columns of links on the right. The bottom bar holds copyright and system status.</w:t>
      </w: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4233"/>
        <w:gridCol w:w="3025"/>
      </w:tblGrid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Property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Value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Background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#0f172a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Link colour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rgba(255,255,255,0.6)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Hover: white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Column label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12px, 700, uppercase, rgba(255,255,255,0.4)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Status dot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#22C55E (green)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Animated pulse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Bottom bar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rgba(255,255,255,0.35), 13px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Copyright + status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Grid (desktop)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1fr 2fr, gap: 64px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Grid (mobile)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Single column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Inter" w:cs="Inter" w:eastAsia="Inter" w:hAnsi="Inter"/>
          <w:b/>
          <w:bCs/>
          <w:color w:val="0f172a"/>
          <w:sz w:val="36"/>
          <w:szCs w:val="36"/>
        </w:rPr>
        <w:t xml:space="preserve">6. Motion &amp; Interaction</w:t>
      </w:r>
    </w:p>
    <w:p>
      <w:pPr>
        <w:spacing w:after="100" w:before="0"/>
      </w:pPr>
      <w:r>
        <w:rPr>
          <w:rFonts w:ascii="Inter" w:cs="Inter" w:eastAsia="Inter" w:hAnsi="Inter"/>
          <w:color w:val="3d4a5c"/>
          <w:sz w:val="22"/>
          <w:szCs w:val="22"/>
        </w:rPr>
        <w:t xml:space="preserve">Transitions are intentionally subtle. The goal is responsiveness, not spectacle.</w:t>
      </w: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4233"/>
        <w:gridCol w:w="3025"/>
      </w:tblGrid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Property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Value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ed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Default hover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opacity 0.1s ease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Buttons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Background hover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background 0.1s ease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Nav links, cards, inputs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Border / shadow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0.15s ease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Cards on hover, inputs on focus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Nav background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0.2s ease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Scroll state transition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Accordion / FAQ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0.2s ease (transform)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Chevron rotation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Progress bar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0.3s (duration: all)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Setup wizard step transitions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Spinner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0.8–1.1s linear infinite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Discover loading screen</w:t>
            </w:r>
          </w:p>
        </w:tc>
      </w:tr>
      <w:tr>
        <w:tc>
          <w:tcPr>
            <w:tcW w:type="dxa" w:w="2822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Scroll-triggered</w:t>
            </w:r>
          </w:p>
        </w:tc>
        <w:tc>
          <w:tcPr>
            <w:tcW w:type="dxa" w:w="4233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4a5c"/>
                <w:sz w:val="19"/>
                <w:szCs w:val="19"/>
              </w:rPr>
              <w:t xml:space="preserve">No JS scroll animations</w:t>
            </w:r>
          </w:p>
        </w:tc>
        <w:tc>
          <w:tcPr>
            <w:tcW w:type="dxa" w:w="3025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All transitions are CSS-only</w:t>
            </w:r>
          </w:p>
        </w:tc>
      </w:tr>
    </w:tbl>
    <w:p>
      <w:pPr>
        <w:spacing w:after="0" w:before="160"/>
      </w:pPr>
    </w:p>
    <w:p>
      <w:pPr>
        <w:pStyle w:val="Heading1"/>
        <w:spacing w:after="120" w:before="400"/>
      </w:pPr>
      <w:r>
        <w:rPr>
          <w:rFonts w:ascii="Inter" w:cs="Inter" w:eastAsia="Inter" w:hAnsi="Inter"/>
          <w:b/>
          <w:bCs/>
          <w:color w:val="0f172a"/>
          <w:sz w:val="36"/>
          <w:szCs w:val="36"/>
        </w:rPr>
        <w:t xml:space="preserve">7. Writing &amp; Tone</w:t>
      </w:r>
    </w:p>
    <w:p>
      <w:pPr>
        <w:spacing w:after="100" w:before="0"/>
      </w:pPr>
      <w:r>
        <w:rPr>
          <w:rFonts w:ascii="Inter" w:cs="Inter" w:eastAsia="Inter" w:hAnsi="Inter"/>
          <w:color w:val="3d4a5c"/>
          <w:sz w:val="22"/>
          <w:szCs w:val="22"/>
        </w:rPr>
        <w:t xml:space="preserve">The brand voice is plain, direct, and practical. It speaks to small business owners who do not think of themselves as tech-savvy.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3d4a5c"/>
          <w:sz w:val="22"/>
          <w:szCs w:val="22"/>
        </w:rPr>
        <w:t xml:space="preserve">Short sentences. No jargon.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3d4a5c"/>
          <w:sz w:val="22"/>
          <w:szCs w:val="22"/>
        </w:rPr>
        <w:t xml:space="preserve">Use "you" and "your business" — not "the user" or "customers".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3d4a5c"/>
          <w:sz w:val="22"/>
          <w:szCs w:val="22"/>
        </w:rPr>
        <w:t xml:space="preserve">British English spelling (e.g. "colour", "centre", "realise").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3d4a5c"/>
          <w:sz w:val="22"/>
          <w:szCs w:val="22"/>
        </w:rPr>
        <w:t xml:space="preserve">CTAs are action-first: "Find my business", "Build my website", "Get started free".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3d4a5c"/>
          <w:sz w:val="22"/>
          <w:szCs w:val="22"/>
        </w:rPr>
        <w:t xml:space="preserve">Tagline: "A website for your business in the time it takes to make a brew."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3d4a5c"/>
          <w:sz w:val="22"/>
          <w:szCs w:val="22"/>
        </w:rPr>
        <w:t xml:space="preserve">Error messages and empty states use conversational language, not system error codes.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3d4a5c"/>
          <w:sz w:val="22"/>
          <w:szCs w:val="22"/>
        </w:rPr>
        <w:t xml:space="preserve">Skip links and navigation text are lowercase (e.g. "Help centre", not "HELP CENTRE").</w:t>
      </w:r>
    </w:p>
    <w:p>
      <w:pPr>
        <w:spacing w:after="0" w:before="160"/>
      </w:pPr>
    </w:p>
    <w:p>
      <w:pPr>
        <w:pStyle w:val="Heading1"/>
        <w:spacing w:after="120" w:before="400"/>
      </w:pPr>
      <w:r>
        <w:rPr>
          <w:rFonts w:ascii="Inter" w:cs="Inter" w:eastAsia="Inter" w:hAnsi="Inter"/>
          <w:b/>
          <w:bCs/>
          <w:color w:val="0f172a"/>
          <w:sz w:val="36"/>
          <w:szCs w:val="36"/>
        </w:rPr>
        <w:t xml:space="preserve">8. Do / Don't</w:t>
      </w: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30"/>
        <w:gridCol w:w="5040"/>
      </w:tblGrid>
      <w:tr>
        <w:tc>
          <w:tcPr>
            <w:tcW w:type="dxa" w:w="5030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15803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✔  Do</w:t>
            </w:r>
          </w:p>
        </w:tc>
        <w:tc>
          <w:tcPr>
            <w:tcW w:type="dxa" w:w="503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✘  Don't</w:t>
            </w:r>
          </w:p>
        </w:tc>
      </w:tr>
      <w:tr>
        <w:tc>
          <w:tcPr>
            <w:tcW w:type="dxa" w:w="5030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5803d"/>
                <w:sz w:val="21"/>
                <w:szCs w:val="21"/>
              </w:rPr>
              <w:t xml:space="preserve">✔️  Use --mk-* CSS tokens for all colours</w:t>
            </w:r>
          </w:p>
        </w:tc>
        <w:tc>
          <w:tcPr>
            <w:tcW w:type="dxa" w:w="5040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b91c1c"/>
                <w:sz w:val="21"/>
                <w:szCs w:val="21"/>
              </w:rPr>
              <w:t xml:space="preserve">✘  Hard-code hex values outside of tokens</w:t>
            </w:r>
          </w:p>
        </w:tc>
      </w:tr>
      <w:tr>
        <w:tc>
          <w:tcPr>
            <w:tcW w:type="dxa" w:w="5030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5803d"/>
                <w:sz w:val="21"/>
                <w:szCs w:val="21"/>
              </w:rPr>
              <w:t xml:space="preserve">✔️  Use Inter at the declared weights</w:t>
            </w:r>
          </w:p>
        </w:tc>
        <w:tc>
          <w:tcPr>
            <w:tcW w:type="dxa" w:w="5040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b91c1c"/>
                <w:sz w:val="21"/>
                <w:szCs w:val="21"/>
              </w:rPr>
              <w:t xml:space="preserve">✘  Mix in system-ui for marketing UI</w:t>
            </w:r>
          </w:p>
        </w:tc>
      </w:tr>
      <w:tr>
        <w:tc>
          <w:tcPr>
            <w:tcW w:type="dxa" w:w="5030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5803d"/>
                <w:sz w:val="21"/>
                <w:szCs w:val="21"/>
              </w:rPr>
              <w:t xml:space="preserve">✔️  Use clamp() for hero / section headings</w:t>
            </w:r>
          </w:p>
        </w:tc>
        <w:tc>
          <w:tcPr>
            <w:tcW w:type="dxa" w:w="5040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b91c1c"/>
                <w:sz w:val="21"/>
                <w:szCs w:val="21"/>
              </w:rPr>
              <w:t xml:space="preserve">✘  Set fixed px on top-level headings</w:t>
            </w:r>
          </w:p>
        </w:tc>
      </w:tr>
      <w:tr>
        <w:tc>
          <w:tcPr>
            <w:tcW w:type="dxa" w:w="5030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5803d"/>
                <w:sz w:val="21"/>
                <w:szCs w:val="21"/>
              </w:rPr>
              <w:t xml:space="preserve">✔️  Use accent blue (#1e66f5) for focus rings</w:t>
            </w:r>
          </w:p>
        </w:tc>
        <w:tc>
          <w:tcPr>
            <w:tcW w:type="dxa" w:w="5040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b91c1c"/>
                <w:sz w:val="21"/>
                <w:szCs w:val="21"/>
              </w:rPr>
              <w:t xml:space="preserve">✘  Use black outlines on focused inputs</w:t>
            </w:r>
          </w:p>
        </w:tc>
      </w:tr>
      <w:tr>
        <w:tc>
          <w:tcPr>
            <w:tcW w:type="dxa" w:w="5030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5803d"/>
                <w:sz w:val="21"/>
                <w:szCs w:val="21"/>
              </w:rPr>
              <w:t xml:space="preserve">✔️  Keep button radius at 10px</w:t>
            </w:r>
          </w:p>
        </w:tc>
        <w:tc>
          <w:tcPr>
            <w:tcW w:type="dxa" w:w="5040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b91c1c"/>
                <w:sz w:val="21"/>
                <w:szCs w:val="21"/>
              </w:rPr>
              <w:t xml:space="preserve">✘  Use fully rounded (999px) buttons in UI</w:t>
            </w:r>
          </w:p>
        </w:tc>
      </w:tr>
      <w:tr>
        <w:tc>
          <w:tcPr>
            <w:tcW w:type="dxa" w:w="5030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5803d"/>
                <w:sz w:val="21"/>
                <w:szCs w:val="21"/>
              </w:rPr>
              <w:t xml:space="preserve">✔️  Use stroke-only Lucide icons</w:t>
            </w:r>
          </w:p>
        </w:tc>
        <w:tc>
          <w:tcPr>
            <w:tcW w:type="dxa" w:w="5040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b91c1c"/>
                <w:sz w:val="21"/>
                <w:szCs w:val="21"/>
              </w:rPr>
              <w:t xml:space="preserve">✘  Mix filled and stroke icons in the same section</w:t>
            </w:r>
          </w:p>
        </w:tc>
      </w:tr>
      <w:tr>
        <w:tc>
          <w:tcPr>
            <w:tcW w:type="dxa" w:w="5030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5803d"/>
                <w:sz w:val="21"/>
                <w:szCs w:val="21"/>
              </w:rPr>
              <w:t xml:space="preserve">✔️  White background on all pages</w:t>
            </w:r>
          </w:p>
        </w:tc>
        <w:tc>
          <w:tcPr>
            <w:tcW w:type="dxa" w:w="5040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b91c1c"/>
                <w:sz w:val="21"/>
                <w:szCs w:val="21"/>
              </w:rPr>
              <w:t xml:space="preserve">✘  Use warm beige (#f6f5f1) backgrounds</w:t>
            </w:r>
          </w:p>
        </w:tc>
      </w:tr>
      <w:tr>
        <w:tc>
          <w:tcPr>
            <w:tcW w:type="dxa" w:w="5030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5803d"/>
                <w:sz w:val="21"/>
                <w:szCs w:val="21"/>
              </w:rPr>
              <w:t xml:space="preserve">✔️  Use --mk-panel for subtle hover fills</w:t>
            </w:r>
          </w:p>
        </w:tc>
        <w:tc>
          <w:tcPr>
            <w:tcW w:type="dxa" w:w="5040"/>
            <w:tcBorders>
              <w:top w:val="single" w:color="dde1e8" w:sz="1"/>
              <w:left w:val="single" w:color="dde1e8" w:sz="1"/>
              <w:bottom w:val="single" w:color="dde1e8" w:sz="1"/>
              <w:right w:val="single" w:color="dde1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b91c1c"/>
                <w:sz w:val="21"/>
                <w:szCs w:val="21"/>
              </w:rPr>
              <w:t xml:space="preserve">✘  Use grey fills that clash with the cool palette</w:t>
            </w:r>
          </w:p>
        </w:tc>
      </w:tr>
    </w:tbl>
    <w:p>
      <w:pPr>
        <w:spacing w:after="0" w:before="320"/>
      </w:pPr>
    </w:p>
    <w:p>
      <w:pPr>
        <w:pBdr>
          <w:bottom w:val="single" w:color="dde1e8" w:sz="4"/>
        </w:pBdr>
        <w:spacing w:after="200" w:before="0"/>
      </w:pPr>
    </w:p>
    <w:p>
      <w:pPr>
        <w:spacing w:after="0" w:before="120"/>
        <w:jc w:val="right"/>
      </w:pPr>
      <w:r>
        <w:rPr>
          <w:rFonts w:ascii="Inter" w:cs="Inter" w:eastAsia="Inter" w:hAnsi="Inter"/>
          <w:color w:val="64748b"/>
          <w:sz w:val="18"/>
          <w:szCs w:val="18"/>
        </w:rPr>
        <w:t xml:space="preserve">321Sites Design Guide — April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3d4a5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80"/>
      <w:outlineLvl w:val="0"/>
    </w:pPr>
    <w:rPr>
      <w:rFonts w:ascii="Inter" w:cs="Inter" w:eastAsia="Inter" w:hAnsi="Inter"/>
      <w:b/>
      <w:bCs/>
      <w:color w:val="0f172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Inter" w:cs="Inter" w:eastAsia="Inter" w:hAnsi="Inter"/>
      <w:b/>
      <w:bCs/>
      <w:color w:val="0f172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2026-04-22T20:21:38.016Z</dcterms:created>
  <dcterms:modified xsi:type="dcterms:W3CDTF">2026-04-22T20:21:38.016Z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