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https://www.kaggle.com/blastchar/telco-customer-churn</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http://www.dbmarketing.com/telecom/churnreduction.html</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https://community.ibm.com/community/user/businessanalytics/blogs/steven-macko/2019/07/11/telco-customer-churn-1113</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Business Problem Statement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our main problem that we are researching, we have decided to focus on customer churn.  In this sense we can see that in order to maintain a sustainable income, we must ensure that our customer relationship along with our churn is at acceptable levels.  To do this we will examine the basic underlying issues of why customers disengage.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Business Goal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goal is to determine what factors are making customers churn and figure out methods to retain customers, thus slowing the churn rate. Decreasing churn is vital to any part of a business in order to keep revenue up and stay afloat.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Data Profile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data came from Kaggle and is a csv file containing information about a telco company in California and shows which customers have left the company, stayed, signed up for the service(s), which service(s) the customers have, as well as some demographic and financial information. There are 11 missing values, all of which are in the total charges column, which were converted to NA’s so the data can be easily usable, and there are no outliers. There were attributes. There were 21 attributes with Churn being the target.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Project Report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Importance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importance of our data mining project is to effectively develop customer retention plans for a Telco company in hopes to improve the overall company churn rate. Through data mining, we will be able to analyze customer information and aim to predict future behavior that will be used to better understand why customers may exit. If a company has a high churn rate or has seen a consistent increase, they are in a position that could be damaging to their profitability and long-term success.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Telco companies in general, the average annual churn rate is between 10 and 67 percent. This means that about 75 percent of the 17 to 20 million subscribers signing up with a new wireless carrier every year are coming from another wireless provider and hence are already churners (Hughes 2021). Not only is this damaging in the aspect that they lose customer revenue, but they will also lose the money spent to initially attract the customer.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Background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When any company is attempting to increase their rate of retention, there are many approaches and techniques that can be utilized in order to best determine the most effective way forward.  These techniques can vary from surface level to extreme deep dives into a user's history.  No matter how the information is gathered, they all help add to deepen the understanding of what motivates the consumer.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One such technique is referred to as “affinity analysis”.  You could look at this as a basket analysis of what the customer has purchased in the past to see what they are most interested in.  For example, if you note that a customer tends to buy a certain protein bar each week, it may be advantageous to offer them a special on that brand's complementary products.  When speaking on this issue, Neil Patel said, “Ask yourself: Who are your local customers and how you can turn these customers into advocates for your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On a deeper level, data mining may help you to create a completely new product to better target a specific customer base.  This can range from customizing an existing product to better fit a niche market, to innovation that results in a completely new product.  You are looking for any gaps in service that have been overlooked and are readily available to capitalize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two examples detailed here are only a small fraction of what data analysis can do.  If you are looking to make your business more successful, into increasing the size of your business, or even changing direction entirely, employing these techniques is paramount to your success.  Data mining is not just a simple way of examining how your customer base is reacting, but a detailed analysis of how to better predict the intricacies of the market in order to be best positioned for any changes that may come your way.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Data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data came from Kaggle and is a csv file containing information about a telco company in California and shows which customers have left the company, stayed, signed up for the service(s), which service(s) the customers have, as well as some demographic and financial information. There are 11 missing values, all of which are in the total charges column, which were converted the to NA’s so the data can be easily usable, and there are no outliers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of records: 7043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customerID - Customer 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gender - Whether the customer is a male or a female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SeniorCitizen - Whether the customer is a senior citizen or not (1,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 - Whether the customer has a partner or not (Yes,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Dependents - Whether the customer has dependents or not (Yes,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Tenure - Number of months the customer has stayed with the company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PhoneService - Whether the customer has a phone service or not (Yes,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MultipleLines - Whether the customer has multiple lines or not (Yes, No, No phone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InternetService - Customer’s internet service provider (DSL, Fiber optic,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OnlineSecurity - Whether the customer has online security or not (Yes, No, No internet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DeviceProtection - Whether the customer has tech support or not (Yes, No, No internet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TechSupport - Whether the customer has tech support or not (Yes, No, No internet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StreamingTV - Whether the customer has streaming TV or not (Yes, No, No internet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StreamingMovies - Whether the customer has streaming movies or not (Yes, No, No internet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Contract - The contract term of the customer (Month-to-month, One year, Two year)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PaperlessBilling - Whether the customer has paperless billing or not (Yes,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PaymentMethod - The customer’s payment method (Electronic check, Mailed check, Bank transfer (automatic), Credit card (automatic))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MonthlyCharges - The amount charged to the customer monthly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TotalCharges - The total amount charged to the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Churn - Whether the customer churned or not (Yes or 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560"/>
        <w:gridCol w:w="1560"/>
        <w:gridCol w:w="1560"/>
        <w:gridCol w:w="1560"/>
        <w:gridCol w:w="1560"/>
        <w:gridCol w:w="1560"/>
      </w:tblGrid>
      <w:tr>
        <w:trPr>
          <w:trHeight w:val="420" w:hRule="auto"/>
          <w:jc w:val="left"/>
        </w:trPr>
        <w:tc>
          <w:tcPr>
            <w:tcW w:w="9360" w:type="dxa"/>
            <w:gridSpan w:val="6"/>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Table 1. Summary Statistics</w:t>
            </w:r>
          </w:p>
        </w:tc>
      </w:tr>
      <w:tr>
        <w:trPr>
          <w:trHeight w:val="1" w:hRule="atLeast"/>
          <w:jc w:val="left"/>
        </w:trPr>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Observations</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Mean</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Std. Dev.</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Min</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w:t>
            </w:r>
          </w:p>
        </w:tc>
      </w:tr>
      <w:tr>
        <w:trPr>
          <w:trHeight w:val="1" w:hRule="atLeast"/>
          <w:jc w:val="left"/>
        </w:trPr>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SeniorCitizen</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7043</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.01621468</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.3686116</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r>
      <w:tr>
        <w:trPr>
          <w:trHeight w:val="1" w:hRule="atLeast"/>
          <w:jc w:val="left"/>
        </w:trPr>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Tenure</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7043</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32.37115</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24.55948</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72</w:t>
            </w:r>
          </w:p>
        </w:tc>
      </w:tr>
      <w:tr>
        <w:trPr>
          <w:trHeight w:val="1" w:hRule="atLeast"/>
          <w:jc w:val="left"/>
        </w:trPr>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MonthlyCharges</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7043</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64.76169</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30.09005</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18.25</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118.75</w:t>
            </w:r>
          </w:p>
        </w:tc>
      </w:tr>
      <w:tr>
        <w:trPr>
          <w:trHeight w:val="1" w:hRule="atLeast"/>
          <w:jc w:val="left"/>
        </w:trPr>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TotalCharges</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7043</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2283.3</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2266.771</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18.80</w:t>
            </w:r>
          </w:p>
        </w:tc>
        <w:tc>
          <w:tcPr>
            <w:tcW w:w="1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8684.80</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use at least two visualization techniques to illustrate some of the important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attributes in your data set.]</w:t>
      </w:r>
    </w:p>
    <w:p>
      <w:pPr>
        <w:spacing w:before="0" w:after="0" w:line="276"/>
        <w:ind w:right="0" w:left="0" w:firstLine="0"/>
        <w:jc w:val="left"/>
        <w:rPr>
          <w:rFonts w:ascii="Arial" w:hAnsi="Arial" w:cs="Arial" w:eastAsia="Arial"/>
          <w:color w:val="auto"/>
          <w:spacing w:val="0"/>
          <w:position w:val="0"/>
          <w:sz w:val="22"/>
          <w:shd w:fill="auto" w:val="clear"/>
        </w:rPr>
      </w:pPr>
      <w:r>
        <w:object w:dxaOrig="3009" w:dyaOrig="7668">
          <v:rect xmlns:o="urn:schemas-microsoft-com:office:office" xmlns:v="urn:schemas-microsoft-com:vml" id="rectole0000000000" style="width:150.450000pt;height:383.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object w:dxaOrig="2916" w:dyaOrig="7705">
          <v:rect xmlns:o="urn:schemas-microsoft-com:office:office" xmlns:v="urn:schemas-microsoft-com:vml" id="rectole0000000001" style="width:145.800000pt;height:385.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We used “read.csv” to load the Telco data into R. We then dropped missing rows using the “complete cases” function and changed the Senior Citizen variable to a factor using “as.factor”. Next, we visualized the started data by comparing each character variable to churn utilizing the ggplot library to display graphs. Once the factor variables were analyzed, we then looked at the continuous variables and how they were paired with churn.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running any tests, we first had to prepare our data using multiple data functions. First, we organized all responses in the data with the word “No” into one category and then made each continuous variable standardized. Following this, we decided to mutate tenure from months into years and created a new tenure variable named “tenure_years”.  Once the data was cleaned, dummy variables then had to be created using seed(100). The last steps in our data preparation included combining both the dummy variables and the standardized continuous variables in order to build a final set of data that we could split into a train and test group.</w:t>
      </w:r>
    </w:p>
    <w:p>
      <w:pPr>
        <w:spacing w:before="0" w:after="0" w:line="276"/>
        <w:ind w:right="0" w:left="0" w:firstLine="720"/>
        <w:jc w:val="left"/>
        <w:rPr>
          <w:rFonts w:ascii="Roboto Mono" w:hAnsi="Roboto Mono" w:cs="Roboto Mono" w:eastAsia="Roboto Mono"/>
          <w:color w:val="auto"/>
          <w:spacing w:val="0"/>
          <w:position w:val="0"/>
          <w:sz w:val="21"/>
          <w:shd w:fill="F7F7F7" w:val="clear"/>
        </w:rPr>
      </w:pPr>
      <w:r>
        <w:rPr>
          <w:rFonts w:ascii="Arial" w:hAnsi="Arial" w:cs="Arial" w:eastAsia="Arial"/>
          <w:color w:val="auto"/>
          <w:spacing w:val="0"/>
          <w:position w:val="0"/>
          <w:sz w:val="22"/>
          <w:shd w:fill="auto" w:val="clear"/>
        </w:rPr>
        <w:t xml:space="preserve">When building the logistic regression model, we used the stepAIC function to find the best fitting model from the prepared data. We then looked at the variable importance of this model and found that DeviceProtection and StreamingTV both had high p-values, leading us to remove them from the data. From this set of data we then tested a 50% cutoff and found that sensitivity was too low and needed to run a cutoff function to optimize our output, resulting in a 31%-32% cutoff. The decision tree model was the second model we built using the “rpart” libraries. Once finished, we then ran a confusion matrix function to compare the outputs to those of the logistic regression. The last model we created was the random forest, which was built using the “random forest” library. For our random forest we selected our ntree value to be 500 and our mtry to be 4. From here we ran a confusion matrix to again compare the output to our other models to see which resulted the best. We also charted a variable importance plot to show which variables played an important role in the churn rate. Once each model was finished , the final step was then to chart each of these models' AUC curve to select the best option.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at the final results of our analysis, the random forest model gave the most accurate output when finding the importance of each variable. The output returned an accuracy of 78.86% with sensitivity at 82.46% and specificity at 63.99%. The logistic regression model was the least accurate of the three at 75.59% and a near balanced sensitivity and specificity rate. The decision tree model was just slightly less accurate than the random forest model at 78.1% and had a sensitivity rate of 82.45% and a specificity rate of 61.38%.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confusion outputs for the random forest model gave 1390 true positives and 291 true negative. The decision tree's confusion output returned slightly higher predictions with true positives 1433 and true negatives at 226. The 95% CI for the decision tree was (0.7681, 0.8036). For the logistic regression, our final output gave us 1197 true positives (No’s) and 430 true negatives (Yes’s).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Variable Importance across the three outputs was also able to show what the most important variables were when predicting our customer churn. Tenure, Charges (Monthly and Total), Type of Internet (InternetService.xFiber.optic / InternetService.xNo) , were our most important variables for this analysis.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Logistic Regression:</w:t>
      </w:r>
    </w:p>
    <w:p>
      <w:pPr>
        <w:numPr>
          <w:ilvl w:val="0"/>
          <w:numId w:val="2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75.59%,</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75.75%</w:t>
      </w:r>
    </w:p>
    <w:p>
      <w:pPr>
        <w:numPr>
          <w:ilvl w:val="0"/>
          <w:numId w:val="24"/>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75.53%</w:t>
      </w: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DecisionTrees:</w:t>
      </w:r>
    </w:p>
    <w:p>
      <w:pPr>
        <w:numPr>
          <w:ilvl w:val="0"/>
          <w:numId w:val="2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78.1%,</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82.45%</w:t>
      </w:r>
    </w:p>
    <w:p>
      <w:pPr>
        <w:numPr>
          <w:ilvl w:val="0"/>
          <w:numId w:val="28"/>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61.38%</w:t>
      </w: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RandomForest:</w:t>
      </w:r>
    </w:p>
    <w:p>
      <w:pPr>
        <w:numPr>
          <w:ilvl w:val="0"/>
          <w:numId w:val="3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78.86%,</w:t>
      </w:r>
    </w:p>
    <w:p>
      <w:pPr>
        <w:numPr>
          <w:ilvl w:val="0"/>
          <w:numId w:val="3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82.46%</w:t>
      </w:r>
    </w:p>
    <w:p>
      <w:pPr>
        <w:numPr>
          <w:ilvl w:val="0"/>
          <w:numId w:val="32"/>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63.99%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analysis is vital for any business that aims to succeed. Rate of retention and Churn are the two most important factors that influence whether a business will remain competitive or simply fade out. We worked with data pertaining to a Telco company with data on 21 different attributes. Our goal was to find out how much each variable affects churn, utilizing graphs and various different models to do so. In the end, it was the random forest model that provided the highest accuracy for determining the importance of each variable. The two most important important variables went hand in hand, those being total charges and tenure, which suggests that brand/company loyalty is a strong predictor of churn, thus it should be the goal for every company. Additionally, for services offered, it appeared that customers that had fiber optic internet were the least likely to switch, which means that the company should be trying to sell customers said package.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Appendix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Churn Percentage Histogram</w:t>
      </w:r>
    </w:p>
    <w:p>
      <w:pPr>
        <w:spacing w:before="0" w:after="0" w:line="276"/>
        <w:ind w:right="0" w:left="0" w:firstLine="0"/>
        <w:jc w:val="left"/>
        <w:rPr>
          <w:rFonts w:ascii="Arial" w:hAnsi="Arial" w:cs="Arial" w:eastAsia="Arial"/>
          <w:color w:val="auto"/>
          <w:spacing w:val="0"/>
          <w:position w:val="0"/>
          <w:sz w:val="22"/>
          <w:shd w:fill="auto" w:val="clear"/>
        </w:rPr>
      </w:pPr>
      <w:r>
        <w:object w:dxaOrig="7031" w:dyaOrig="6351">
          <v:rect xmlns:o="urn:schemas-microsoft-com:office:office" xmlns:v="urn:schemas-microsoft-com:vml" id="rectole0000000002" style="width:351.550000pt;height:317.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Factor Variables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894">
          <v:rect xmlns:o="urn:schemas-microsoft-com:office:office" xmlns:v="urn:schemas-microsoft-com:vml" id="rectole0000000003" style="width:449.250000pt;height:294.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7624" w:dyaOrig="4997">
          <v:rect xmlns:o="urn:schemas-microsoft-com:office:office" xmlns:v="urn:schemas-microsoft-com:vml" id="rectole0000000004" style="width:381.200000pt;height:249.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object w:dxaOrig="8445" w:dyaOrig="5535">
          <v:rect xmlns:o="urn:schemas-microsoft-com:office:office" xmlns:v="urn:schemas-microsoft-com:vml" id="rectole0000000005" style="width:422.250000pt;height:276.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Continuous Variables</w:t>
      </w:r>
    </w:p>
    <w:p>
      <w:pPr>
        <w:spacing w:before="0" w:after="0" w:line="276"/>
        <w:ind w:right="0" w:left="0" w:firstLine="0"/>
        <w:jc w:val="left"/>
        <w:rPr>
          <w:rFonts w:ascii="Arial" w:hAnsi="Arial" w:cs="Arial" w:eastAsia="Arial"/>
          <w:color w:val="auto"/>
          <w:spacing w:val="0"/>
          <w:position w:val="0"/>
          <w:sz w:val="22"/>
          <w:shd w:fill="auto" w:val="clear"/>
        </w:rPr>
      </w:pPr>
      <w:r>
        <w:object w:dxaOrig="6120" w:dyaOrig="5529">
          <v:rect xmlns:o="urn:schemas-microsoft-com:office:office" xmlns:v="urn:schemas-microsoft-com:vml" id="rectole0000000006" style="width:306.000000pt;height:276.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r>
        <w:object w:dxaOrig="6120" w:dyaOrig="5529">
          <v:rect xmlns:o="urn:schemas-microsoft-com:office:office" xmlns:v="urn:schemas-microsoft-com:vml" id="rectole0000000007" style="width:306.000000pt;height:276.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0" w:line="276"/>
        <w:ind w:right="0" w:left="0" w:firstLine="0"/>
        <w:jc w:val="left"/>
        <w:rPr>
          <w:rFonts w:ascii="Arial" w:hAnsi="Arial" w:cs="Arial" w:eastAsia="Arial"/>
          <w:color w:val="auto"/>
          <w:spacing w:val="0"/>
          <w:position w:val="0"/>
          <w:sz w:val="22"/>
          <w:shd w:fill="auto" w:val="clear"/>
        </w:rPr>
      </w:pPr>
      <w:r>
        <w:object w:dxaOrig="6314" w:dyaOrig="5705">
          <v:rect xmlns:o="urn:schemas-microsoft-com:office:office" xmlns:v="urn:schemas-microsoft-com:vml" id="rectole0000000008" style="width:315.700000pt;height:285.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Tenure Years Graph</w:t>
      </w:r>
    </w:p>
    <w:p>
      <w:pPr>
        <w:spacing w:before="0" w:after="0" w:line="276"/>
        <w:ind w:right="0" w:left="0" w:firstLine="0"/>
        <w:jc w:val="left"/>
        <w:rPr>
          <w:rFonts w:ascii="Arial" w:hAnsi="Arial" w:cs="Arial" w:eastAsia="Arial"/>
          <w:color w:val="auto"/>
          <w:spacing w:val="0"/>
          <w:position w:val="0"/>
          <w:sz w:val="22"/>
          <w:shd w:fill="auto" w:val="clear"/>
        </w:rPr>
      </w:pPr>
      <w:r>
        <w:object w:dxaOrig="6197" w:dyaOrig="5608">
          <v:rect xmlns:o="urn:schemas-microsoft-com:office:office" xmlns:v="urn:schemas-microsoft-com:vml" id="rectole0000000009" style="width:309.850000pt;height:280.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Logistic Regression Cutoff Prediction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object w:dxaOrig="5018" w:dyaOrig="4677">
          <v:rect xmlns:o="urn:schemas-microsoft-com:office:office" xmlns:v="urn:schemas-microsoft-com:vml" id="rectole0000000010" style="width:250.900000pt;height:233.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Logistic Regression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7254" w:dyaOrig="5205">
          <v:rect xmlns:o="urn:schemas-microsoft-com:office:office" xmlns:v="urn:schemas-microsoft-com:vml" id="rectole0000000011" style="width:362.700000pt;height:260.2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Logistic Regression Matrix:</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pred_churn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actual_churn            No  Yes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  1197  352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Yes  131  430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Logistic Regression Variable Importance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tenure                  MonthlyCharges                   SeniorCitizen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2.566687                       13.185353                        1.093448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Partner    InternetService.xFiber.optic             InternetService.xNo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1.131568                        6.586757                        2.235547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OnlineSecurity                    OnlineBackup                     TechSupport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1.222028                        1.302089                        1.284460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StreamingTV              Contract.xOne.year              Contract.xTwo.year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2.178736                        1.314885                        1.399638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PaperlessBilling PaymentMethod.xElectronic.check         tenure_years.x1.2.years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1.133354                        1.131859                        1.032772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tenure_years.x5.6.years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1.788311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Decision Tree Confusion Matrix: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204" w:dyaOrig="5349">
          <v:rect xmlns:o="urn:schemas-microsoft-com:office:office" xmlns:v="urn:schemas-microsoft-com:vml" id="rectole0000000012" style="width:210.200000pt;height:267.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Decision Tree Variable Importance: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tenure                             TotalCharges                     InternetService.xFiber.optic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26                                       23                                                    18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MonthlyCharges          PaymentMethod.xElectronic.check                   MultipleLines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17                                        6                                                         5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StreamingTV            PaymentMethod.xMailed.check                         Partner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4                                         1                                                         1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Random Forest Confusion Matrix: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3981" w:dyaOrig="4911">
          <v:rect xmlns:o="urn:schemas-microsoft-com:office:office" xmlns:v="urn:schemas-microsoft-com:vml" id="rectole0000000013" style="width:199.050000pt;height:245.5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Random Forest Variable Importance</w:t>
      </w:r>
    </w:p>
    <w:p>
      <w:pPr>
        <w:spacing w:before="0" w:after="0" w:line="276"/>
        <w:ind w:right="0" w:left="0" w:firstLine="0"/>
        <w:jc w:val="left"/>
        <w:rPr>
          <w:rFonts w:ascii="Arial" w:hAnsi="Arial" w:cs="Arial" w:eastAsia="Arial"/>
          <w:color w:val="auto"/>
          <w:spacing w:val="0"/>
          <w:position w:val="0"/>
          <w:sz w:val="22"/>
          <w:shd w:fill="auto" w:val="clear"/>
        </w:rPr>
      </w:pPr>
      <w:r>
        <w:object w:dxaOrig="8366" w:dyaOrig="5436">
          <v:rect xmlns:o="urn:schemas-microsoft-com:office:office" xmlns:v="urn:schemas-microsoft-com:vml" id="rectole0000000014" style="width:418.300000pt;height:271.8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AUC Comparison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object w:dxaOrig="5968" w:dyaOrig="5554">
          <v:rect xmlns:o="urn:schemas-microsoft-com:office:office" xmlns:v="urn:schemas-microsoft-com:vml" id="rectole0000000015" style="width:298.400000pt;height:277.7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5" ShapeID="rectole0000000015" r:id="docRId33"/>
        </w:object>
      </w:r>
    </w:p>
    <w:p>
      <w:pPr>
        <w:spacing w:before="0" w:after="0" w:line="276"/>
        <w:ind w:right="0" w:left="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A brief Summary of all the models:</w:t>
      </w: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Logistic Regression:</w:t>
      </w:r>
    </w:p>
    <w:p>
      <w:pPr>
        <w:numPr>
          <w:ilvl w:val="0"/>
          <w:numId w:val="3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75.59%,</w:t>
      </w: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75.75%</w:t>
      </w:r>
    </w:p>
    <w:p>
      <w:pPr>
        <w:numPr>
          <w:ilvl w:val="0"/>
          <w:numId w:val="37"/>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75.53%</w:t>
      </w: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DecisionTrees:</w:t>
      </w:r>
    </w:p>
    <w:p>
      <w:pPr>
        <w:numPr>
          <w:ilvl w:val="0"/>
          <w:numId w:val="4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78.1%,</w:t>
      </w:r>
    </w:p>
    <w:p>
      <w:pPr>
        <w:numPr>
          <w:ilvl w:val="0"/>
          <w:numId w:val="4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82.45%</w:t>
      </w:r>
    </w:p>
    <w:p>
      <w:pPr>
        <w:numPr>
          <w:ilvl w:val="0"/>
          <w:numId w:val="41"/>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61.38%</w:t>
      </w:r>
    </w:p>
    <w:p>
      <w:pPr>
        <w:spacing w:before="0" w:after="240" w:line="408"/>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RandomForest:</w:t>
      </w:r>
    </w:p>
    <w:p>
      <w:pPr>
        <w:numPr>
          <w:ilvl w:val="0"/>
          <w:numId w:val="4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Accuracy 78.86%,</w:t>
      </w:r>
    </w:p>
    <w:p>
      <w:pPr>
        <w:numPr>
          <w:ilvl w:val="0"/>
          <w:numId w:val="4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Sensitivity 82.46%</w:t>
      </w:r>
    </w:p>
    <w:p>
      <w:pPr>
        <w:numPr>
          <w:ilvl w:val="0"/>
          <w:numId w:val="45"/>
        </w:numPr>
        <w:spacing w:before="0" w:after="3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1"/>
          <w:shd w:fill="auto" w:val="clear"/>
        </w:rPr>
        <w:t xml:space="preserve">Specificity 63.99%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Coding Citation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"Rahman, F (2018, September). Telco Customer Churn-LogisticRegression, Version 15. Retrieved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April 3 , 2021 from </w:t>
      </w:r>
      <w:hyperlink xmlns:r="http://schemas.openxmlformats.org/officeDocument/2006/relationships" r:id="docRId35">
        <w:r>
          <w:rPr>
            <w:rFonts w:ascii="Arial" w:hAnsi="Arial" w:cs="Arial" w:eastAsia="Arial"/>
            <w:color w:val="0000FF"/>
            <w:spacing w:val="0"/>
            <w:position w:val="0"/>
            <w:sz w:val="22"/>
            <w:u w:val="single"/>
            <w:shd w:fill="auto" w:val="clear"/>
          </w:rPr>
          <w:t xml:space="preserve">https://www.kaggle.com/farazrahman/telco-customer-churn-logisticregression</w:t>
        </w:r>
      </w:hyperlink>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4">
    <w:abstractNumId w:val="30"/>
  </w:num>
  <w:num w:numId="28">
    <w:abstractNumId w:val="24"/>
  </w:num>
  <w:num w:numId="32">
    <w:abstractNumId w:val="18"/>
  </w:num>
  <w:num w:numId="37">
    <w:abstractNumId w:val="12"/>
  </w:num>
  <w:num w:numId="41">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5.wmf" Id="docRId14" Type="http://schemas.openxmlformats.org/officeDocument/2006/relationships/image" /><Relationship Target="media/image15.wmf" Id="docRId34" Type="http://schemas.openxmlformats.org/officeDocument/2006/relationships/image" /><Relationship TargetMode="External" Target="http://www.dbmarketing.com/telecom/churnreduction.html"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Mode="External" Target="https://www.kaggle.com/farazrahman/telco-customer-churn-logisticregression" Id="docRId35" Type="http://schemas.openxmlformats.org/officeDocument/2006/relationships/hyperlink" /><Relationship Target="embeddings/oleObject3.bin" Id="docRId9" Type="http://schemas.openxmlformats.org/officeDocument/2006/relationships/oleObject" /><Relationship TargetMode="External" Target="https://www.kaggle.com/blastchar/telco-customer-churn" Id="docRId0" Type="http://schemas.openxmlformats.org/officeDocument/2006/relationships/hyperlink" /><Relationship Target="media/image4.wmf" Id="docRId12" Type="http://schemas.openxmlformats.org/officeDocument/2006/relationships/image" /><Relationship Target="embeddings/oleObject9.bin" Id="docRId21" Type="http://schemas.openxmlformats.org/officeDocument/2006/relationships/oleObject" /><Relationship Target="embeddings/oleObject13.bin" Id="docRId29" Type="http://schemas.openxmlformats.org/officeDocument/2006/relationships/oleObject" /><Relationship Target="numbering.xml" Id="docRId36" Type="http://schemas.openxmlformats.org/officeDocument/2006/relationships/numbering"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edia/image12.wmf" Id="docRId28" Type="http://schemas.openxmlformats.org/officeDocument/2006/relationships/image" /><Relationship Target="embeddings/oleObject0.bin" Id="docRId3" Type="http://schemas.openxmlformats.org/officeDocument/2006/relationships/oleObject" /><Relationship Target="styles.xml" Id="docRId37" Type="http://schemas.openxmlformats.org/officeDocument/2006/relationships/styles" /><Relationship Target="media/image3.wmf" Id="docRId10" Type="http://schemas.openxmlformats.org/officeDocument/2006/relationships/image" /><Relationship Target="media/image7.wmf" Id="docRId18" Type="http://schemas.openxmlformats.org/officeDocument/2006/relationships/image" /><Relationship TargetMode="External" Target="https://community.ibm.com/community/user/businessanalytics/blogs/steven-macko/2019/07/11/telco-customer-churn-1113" Id="docRId2" Type="http://schemas.openxmlformats.org/officeDocument/2006/relationships/hyperlink" /><Relationship Target="embeddings/oleObject12.bin" Id="docRId27" Type="http://schemas.openxmlformats.org/officeDocument/2006/relationships/oleObject" /><Relationship Target="media/image13.wmf" Id="docRId30" Type="http://schemas.openxmlformats.org/officeDocument/2006/relationships/image"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embeddings/oleObject14.bin" Id="docRId31" Type="http://schemas.openxmlformats.org/officeDocument/2006/relationships/oleObject" /><Relationship Target="embeddings/oleObject1.bin" Id="docRId5" Type="http://schemas.openxmlformats.org/officeDocument/2006/relationships/oleObject" /><Relationship Target="media/image6.wmf" Id="docRId16" Type="http://schemas.openxmlformats.org/officeDocument/2006/relationships/image" /><Relationship Target="embeddings/oleObject11.bin" Id="docRId25" Type="http://schemas.openxmlformats.org/officeDocument/2006/relationships/oleObject" /><Relationship Target="media/image14.wmf" Id="docRId32" Type="http://schemas.openxmlformats.org/officeDocument/2006/relationships/image" /><Relationship Target="media/image0.wmf" Id="docRId4" Type="http://schemas.openxmlformats.org/officeDocument/2006/relationships/image" /><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15.bin" Id="docRId33" Type="http://schemas.openxmlformats.org/officeDocument/2006/relationships/oleObject" /><Relationship Target="embeddings/oleObject10.bin" Id="docRId23" Type="http://schemas.openxmlformats.org/officeDocument/2006/relationships/oleObject" /><Relationship Target="media/image1.wmf" Id="docRId6" Type="http://schemas.openxmlformats.org/officeDocument/2006/relationships/image" /></Relationships>
</file>