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H English I</w:t>
      </w:r>
    </w:p>
    <w:tbl>
      <w:tblPr>
        <w:tblStyle w:val="Table1"/>
        <w:bidiVisual w:val="0"/>
        <w:tblW w:w="9095.0" w:type="dxa"/>
        <w:jc w:val="left"/>
        <w:tblLayout w:type="fixed"/>
        <w:tblLook w:val="0600"/>
      </w:tblPr>
      <w:tblGrid>
        <w:gridCol w:w="9095"/>
        <w:tblGridChange w:id="0">
          <w:tblGrid>
            <w:gridCol w:w="909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highlight w:val="white"/>
                <w:rtl w:val="0"/>
              </w:rPr>
              <w:t xml:space="preserve">I want to read computer crime because I am interested in a future in cyber securities.  This book will offer valuable insight into the basics, as it was published in 2000.</w:t>
            </w:r>
          </w:p>
        </w:tc>
      </w:tr>
    </w:tbl>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highlight w:val="white"/>
          <w:rtl w:val="0"/>
        </w:rPr>
        <w:t xml:space="preserve">I want to read Bill Gates : Billionaire Computer Genius because one day I would like to be like him.  This will also offer insights on how to get there.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highlight w:val="white"/>
          <w:rtl w:val="0"/>
        </w:rPr>
        <w:t xml:space="preserve">I want to read computer networks because networking is a key component of our daily lives.  Also, I have a great interest in data infrastructure.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highlight w:val="white"/>
          <w:rtl w:val="0"/>
        </w:rPr>
        <w:t xml:space="preserve">I want to read Computer and Information Technology because I believe this is an important emerging field, and this will assist me in my interest and endeavors in business.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highlight w:val="white"/>
          <w:rtl w:val="0"/>
        </w:rPr>
        <w:t xml:space="preserve">I want to read Industry Applications: two electronic case studies in order to help me to better understand the way applications are compared.  I would also like to learn what attributes these comparisons are based 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highlight w:val="white"/>
          <w:rtl w:val="0"/>
        </w:rPr>
        <w:t xml:space="preserve">Book Review: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highlight w:val="white"/>
          <w:rtl w:val="0"/>
        </w:rPr>
        <w:t xml:space="preserve">The cheating culture is a book that offers great insights into our dishonesty as an entirety.  It highlights it in schools, in fact the book found that the better the students were, the more prevalent cheating was throughout the school.  Harvard even occurred frequently and Harvard and Yale.  However one of the most surprising realms of cheating in academia had to be on the SAT, which stated how many students had learning disorders.  This book was suprisingly good, however by the time you were reading about cheating in: Polotics, Business, Academia, Science, and just about everything else, one gains a more depressed view of the world.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2"/>
        <w:bidiVisual w:val="0"/>
        <w:tblW w:w="9360.0" w:type="dxa"/>
        <w:jc w:val="left"/>
        <w:tblLayout w:type="fixed"/>
        <w:tblLook w:val="0600"/>
      </w:tblPr>
      <w:tblGrid>
        <w:gridCol w:w="315"/>
        <w:gridCol w:w="8287"/>
        <w:gridCol w:w="758"/>
        <w:tblGridChange w:id="0">
          <w:tblGrid>
            <w:gridCol w:w="315"/>
            <w:gridCol w:w="8287"/>
            <w:gridCol w:w="758"/>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rPr/>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go for the Gold.docx</dc:title>
</cp:coreProperties>
</file>