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Honors English I</w:t>
      </w:r>
    </w:p>
    <w:p w:rsidP="00000000" w:rsidRPr="00000000" w:rsidR="00000000" w:rsidDel="00000000" w:rsidRDefault="00000000">
      <w:pPr>
        <w:keepNext w:val="0"/>
        <w:keepLines w:val="0"/>
        <w:widowControl w:val="0"/>
        <w:contextualSpacing w:val="0"/>
      </w:pPr>
      <w:r w:rsidRPr="00000000" w:rsidR="00000000" w:rsidDel="00000000">
        <w:rPr>
          <w:rtl w:val="0"/>
        </w:rPr>
        <w:t xml:space="preserve">Object paragraph organizer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September 9th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Details/ways in which it relates to you: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Adapting</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Spinning (organized chaos)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Balanced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Topic Sentence: A gyroscope can be used to represent me and my extremist individualism.</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Detail #1 Statement: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gyroscope is a device of adaptation.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Proccesing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gyroscope is device with a  rotating wheel mounted on an axis, it possesses the unique ability to stay in place regardless of movements around it.  It is used in modern engineering in order to maintain equilibrium, and in technology to sense changes in direction.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Detail #2 Statement: Gyroscopes can adapt to any environment they’re put 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Proof: Sports, School, All groups, Adults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Detail #3: Balance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Proof: Athletics, Academics, Friends, Family (grandpa)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Closing Sentence: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Outline.docx</dc:title>
</cp:coreProperties>
</file>