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rtl w:val="0"/>
        </w:rPr>
        <w:t xml:space="preserve">Jake Sylvestre</w:t>
        <w:br w:type="textWrapping"/>
        <w:t xml:space="preserve">Honors English I Mods 5-6</w:t>
        <w:br w:type="textWrapping"/>
        <w:t xml:space="preserve">Mrs. Meo</w:t>
        <w:br w:type="textWrapping"/>
        <w:t xml:space="preserve">11/30/2013</w:t>
        <w:br w:type="textWrapping"/>
        <w:t xml:space="preserve">Literature and Visual Art Introduction Paragraph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Fonts w:cs="Times New Roman" w:hAnsi="Times New Roman" w:eastAsia="Times New Roman" w:ascii="Times New Roman"/>
          <w:sz w:val="24"/>
          <w:rtl w:val="0"/>
        </w:rPr>
        <w:tab/>
        <w:t xml:space="preserve">Light is the best representation of life one can imagine, as a matter of fact light is used by many well respected religions in order to represent life; darkness however is needed for light to exsist.  If there were no darkness there would be no way to discern light from dark.  Darkness often times represents death.  Alone these two adjectives are nothing but together they create and infinite amount of philosophical, as well as visual comparisons one can make.  This is well represented in Alice Ravenel Hunger Smith’s </w:t>
      </w:r>
      <w:r w:rsidRPr="00000000" w:rsidR="00000000" w:rsidDel="00000000">
        <w:rPr>
          <w:rFonts w:cs="Times New Roman" w:hAnsi="Times New Roman" w:eastAsia="Times New Roman" w:ascii="Times New Roman"/>
          <w:i w:val="1"/>
          <w:sz w:val="24"/>
          <w:rtl w:val="0"/>
        </w:rPr>
        <w:t xml:space="preserve">The Reserve in Summer </w:t>
      </w:r>
      <w:r w:rsidRPr="00000000" w:rsidR="00000000" w:rsidDel="00000000">
        <w:rPr>
          <w:rFonts w:cs="Times New Roman" w:hAnsi="Times New Roman" w:eastAsia="Times New Roman" w:ascii="Times New Roman"/>
          <w:sz w:val="24"/>
          <w:rtl w:val="0"/>
        </w:rPr>
        <w:t xml:space="preserve">which has a deep-seated connection with James's Hurst’s expertly crafted “The Reserve in Summer”.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paragraph.docx</dc:title>
</cp:coreProperties>
</file>