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rtl w:val="0"/>
        </w:rPr>
        <w:t xml:space="preserve">Jake Sylvestre</w:t>
        <w:br w:type="textWrapping"/>
        <w:t xml:space="preserve">Honors English I Mods 5-6</w:t>
        <w:br w:type="textWrapping"/>
        <w:t xml:space="preserve">Mrs. Meo</w:t>
        <w:br w:type="textWrapping"/>
        <w:t xml:space="preserve">11/22/2013</w:t>
        <w:br w:type="textWrapping"/>
        <w:t xml:space="preserve">Literature and Visual Art Introduction Paragraph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Fonts w:cs="Times New Roman" w:hAnsi="Times New Roman" w:eastAsia="Times New Roman" w:ascii="Times New Roman"/>
          <w:rtl w:val="0"/>
        </w:rPr>
        <w:tab/>
        <w:t xml:space="preserve">There are multitudinous links between this story and the </w:t>
      </w:r>
      <w:r w:rsidRPr="00000000" w:rsidR="00000000" w:rsidDel="00000000">
        <w:rPr>
          <w:rFonts w:cs="Times New Roman" w:hAnsi="Times New Roman" w:eastAsia="Times New Roman" w:ascii="Times New Roman"/>
          <w:i w:val="1"/>
          <w:rtl w:val="0"/>
        </w:rPr>
        <w:t xml:space="preserve">Refuge in Summer</w:t>
      </w:r>
      <w:r w:rsidRPr="00000000" w:rsidR="00000000" w:rsidDel="00000000">
        <w:rPr>
          <w:rFonts w:cs="Times New Roman" w:hAnsi="Times New Roman" w:eastAsia="Times New Roman" w:ascii="Times New Roman"/>
          <w:rtl w:val="0"/>
        </w:rPr>
        <w:t xml:space="preserve"> these links include the continuousness of these two works of art, the contrasts of good and bad, as well as the relations to life and death.  The first link between these two pieces is the sense of enduring in both of these pieces.  In the story, despite the fact that Doodle dies, the narrator must go on with his life unfanned, only with faint occasional thoughts of doodle.  Nature is even less sympathetic to the memories of those  that have passed, not even looking back in the slightest.  This is evident in the picture, through the falling tree, and the tree growing in it’s place.  The second link between the story and the picture is the presence of good and bad.  In the story there is a constant shift between good and bad for instance the Narrator’s seemingly altruistic deeds, which he sees as being self conceited.  Another example is the assumptions made about Doodle from family members throughout the story. Lastly is the presence of life and death which are both blatantly present in the story and the picture.  In the story Doodle is, from birth seemingly on the brink of death, and his fate arrives at the end.  In the painting there is a dead tree, and a new tree sprouting under it; additionally this painting attempts to represent nature, and nature is a constant cycle of life and death every tree in the swamp is made of billions of organisms who once walked the earth.  Therefore this story, and this painting share the attributes of continuity, up’s and down’s, as well as life and death.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2.docx</dc:title>
</cp:coreProperties>
</file>