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Mrs. Meo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Journal 10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480"/>
        <w:contextualSpacing w:val="0"/>
      </w:pPr>
      <w:r w:rsidRPr="00000000" w:rsidR="00000000" w:rsidDel="00000000">
        <w:rPr>
          <w:rtl w:val="0"/>
        </w:rPr>
        <w:t xml:space="preserve">Chapter 11 interested me greatly, as it was the first theological concept of the afterlife of those of a greek religion that I had ever read.  Firstly it was interesting how a physical place on earth was where odysseus’ connected with the dead rather than through prayer, or meditation.  It was also interesting how this place was a river, and how there are many rivers in the underworld.  Thirdly it is interesting how Elephenor has no personal motive (in terms of the underworld) to have a propper burial.  He merely asks Odysseus out of fear that Odysseus might have a curse placed upon him, which demonstrates loyalty to leader.  His other motive is that he will be remembered which is still a motive today.  However I think being remembered is of lesser value today because as Woody Allen once said “I don't want to live on in the hearts of my countrymen; I want to live on in my apartment.”  Later in the chapter, there is a bit of foreshadowing when the prophet warns Odysseus not to touch the flocks of the sun or he will be punished.  With Odysseus being the man of sorrow, a reader  can make an assumption that he, or his men will touch the sun flock, which will result, as every other mistake has in a prolonged journey.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10.docx</dc:title>
</cp:coreProperties>
</file>