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In today’s debate in English, we discussed many topics regarding the differences in victorian life for all classes.  Perhaps the most debated upon, because of the resources we had to debate with, was that of the poor.  One side argued that the poor were better off back then because they were happy with what they got.  When they did work, it brought them some self satisfaction and thus they had more opportunity to keep working toward a better life.  This side also argued that the socialist programs discouraged working, and were anti-productive.  The other side, on matters of the poor argued that the poor not having to work was better, due to the fact that not so many die.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Next it was on to the middle class after I pointed this out “The poor will always be sadder than the rest of the population and the rich will always be happier than the rest of the population.  Therefore the only fair way to judge the living conditions of one generation to another was the middle class.  The middle class in modern day America, is better according to a unanimous vote by the group.  There are very few working in factories, most sit at a desk and type most of the day.  Back then, in the middle class they worked in dangerous, unregulated factories.  Finally it was onto the rich, since almost no one else had an opinion, I decided to initiate the discussion.  I did this with a reference to a later time, early 19th century america.  In this time, I explained how J.P. Morgan, and the other elite could not spend their money, because there was nothing to buy.  Since we were almost out of time we stuck with this point, as our conclusion.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Journal.docx</dc:title>
</cp:coreProperties>
</file>