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Jake Sylvestre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English I Honors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Journal 13-  Project suggestion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Mrs. Meo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480"/>
        <w:contextualSpacing w:val="0"/>
        <w:rPr/>
      </w:pPr>
      <w:r w:rsidRPr="00000000" w:rsidR="00000000" w:rsidDel="00000000">
        <w:rPr>
          <w:rFonts w:cs="Times New Roman" w:hAnsi="Times New Roman" w:eastAsia="Times New Roman" w:ascii="Times New Roman"/>
          <w:sz w:val="24"/>
          <w:rtl w:val="0"/>
        </w:rPr>
        <w:t xml:space="preserve">Victorian England was very tough for many child workers, and education should put students in the shoes of others.  The best way to do this is to make us write a journal, as a day in the life of a child worker for different position.  This will force us to research, think and then empathize with someone who lived hundreds of years before us and is the perfect assignment to help us to understand the struggle incurred in victorian england.  It’ll help us account for the hunger, the pain, and the mental fatigue of these kids who were no older than us, and are probably related to some kids in our class, due to the abundance of English ancestry in America.</w:t>
      </w:r>
    </w:p>
    <w:p w:rsidP="00000000" w:rsidRPr="00000000" w:rsidR="00000000" w:rsidDel="00000000" w:rsidRDefault="00000000">
      <w:pPr>
        <w:spacing w:lineRule="auto" w:line="480"/>
        <w:contextualSpacing w:val="0"/>
        <w:rPr/>
      </w:pPr>
      <w:r w:rsidRPr="00000000" w:rsidR="00000000" w:rsidDel="00000000">
        <w:rPr>
          <w:rtl w:val="0"/>
        </w:rPr>
      </w:r>
    </w:p>
    <w:p w:rsidP="00000000" w:rsidRPr="00000000" w:rsidR="00000000" w:rsidDel="00000000" w:rsidRDefault="00000000">
      <w:pPr>
        <w:spacing w:lineRule="auto" w:line="480"/>
        <w:ind w:firstLine="720"/>
        <w:contextualSpacing w:val="0"/>
        <w:rPr/>
      </w:pPr>
      <w:r w:rsidRPr="00000000" w:rsidR="00000000" w:rsidDel="00000000">
        <w:rPr>
          <w:rFonts w:cs="Times New Roman" w:hAnsi="Times New Roman" w:eastAsia="Times New Roman" w:ascii="Times New Roman"/>
          <w:sz w:val="24"/>
          <w:rtl w:val="0"/>
        </w:rPr>
        <w:t xml:space="preserve">Another option for a Victorian England project would be having the someone throw a dinner party, or another social event.  This event would simulate those of high class Victorian’s and everyone would be given a role.  They would have to know their role, and act their part by reading guide books published during that era.  This would really show the differences between the rich and the poor  Throughout the victorian era, we’re reading about pip a poor boy, this would help us see the other side of things.  The victorian era did not just consist of poor, but also rich despite them being “divided in society” they were inevitably connected through the socioeconomic bonds of society.  In other words they all relied on eachother.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Great Victorian Project Suggestions.docx</dc:title>
</cp:coreProperties>
</file>