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firstLine="720"/>
        <w:contextualSpacing w:val="0"/>
      </w:pPr>
      <w:r w:rsidRPr="00000000" w:rsidR="00000000" w:rsidDel="00000000">
        <w:rPr>
          <w:rtl w:val="0"/>
        </w:rPr>
        <w:t xml:space="preserve">Spartacus was a famous slave, captive of the Romans. He called upon his peers and incited them to war: Oh peers, the Romans are not equals. I was a boy in my town, and life was always pleasant. Great was the harmony of our country. The people were equal. The forests were large/grand and the fields were wide. I didn't have a master; there I was free. I had true friends, good and pleasant boys. But the Romans occupied my country; they carried me and my friends away from the country.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Now, after many years, I am a man, and I fight in the arena. Today in this town, I killed a man whom I did not know--and he was my friend!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Are you men? You don't love the Roman People and the evil masters. We don't deserve this injustice. Our cause is equality. Is now not the time? To arms!(Take up your arms!) Fight! Show you spirit (courage)! Call your peers to your side! We will free the slaves, we will be free, we will migrate (return) to our sacred country and there in our fields we will work and we will have harmony.</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Desc.:</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The first paragraph gives some background on Spartacus and then starts his speech inciting his peers and warming them up for a fight.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In the second paragraph, he explains the reason for his rage, the death of his friend when he says : “I killed”...”my friend”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In the third paragraph he finally cuts to the point and tells them to take up arms and fight, not for glory, but for freedom!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Spartacus.docx</dc:title>
</cp:coreProperties>
</file>