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Declension - group of nouns w/ same or similiar endings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| -&gt; ending on genative 1st- decl ae 2nd decl- (i) 3rd decl- 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Nominative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Black hole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(e)s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Genitive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um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Dative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(i)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ibus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Accusative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(e)s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Ablative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ibus 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p(a)x</w:t>
        <w:tab/>
        <w:tab/>
        <w:t xml:space="preserve">pac(e)s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p(a)cis</w:t>
        <w:tab/>
        <w:tab/>
        <w:t xml:space="preserve">pacum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p(a)c(i)</w:t>
        <w:tab/>
        <w:tab/>
        <w:t xml:space="preserve">pacibus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pacem</w:t>
        <w:tab/>
        <w:tab/>
        <w:t xml:space="preserve">pac(e)s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pace</w:t>
        <w:tab/>
        <w:tab/>
        <w:t xml:space="preserve">pacibus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3rd declension.docx</dc:title>
</cp:coreProperties>
</file>