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Latin Study Guide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ā ē ī ō ū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Percfect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Perfect Tense Endings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75.0" w:type="dxa"/>
        <w:jc w:val="left"/>
        <w:tblInd w:w="-1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35"/>
        <w:gridCol w:w="3120"/>
        <w:gridCol w:w="3120"/>
        <w:tblGridChange w:id="0">
          <w:tblGrid>
            <w:gridCol w:w="3135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singular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plural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1st person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ī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imus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2nd 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istī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istis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3rd 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ērunt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Personal Endings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-1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singular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plural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1st person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ō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2nd 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3rd 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nt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1st conj -are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2nd conj -ere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Declensions: 1st declension: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Singular: Maria, queen of reggae, gave Fannie Mae some jam for her bananā.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Plural: Fannie Mae, fond of ā rum, gave the Israelīs some bananās from the delīs.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2nd declension: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Singular: Gus and Peter, friends of Luigī, gave Mariō some gum for his burritō.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Plural: He and Ī, kings of the quōrum, gave the Israelīs some burritōs from the delīs.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Noun Endings Summary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1st declension: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sg. pl.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N -a -ae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G -ae -ārum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 -ae -īs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Ac -am -ās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Ab -ā -īs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2nd declension: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sg. pl.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N -us -ī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G -ī -ōrum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 -ō -īs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Ac -um -ōs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Ab -ō -īs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Probable vocab-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manēre, mansī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Ultimate Study Guide.docx</dc:title>
</cp:coreProperties>
</file>