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 Plan &amp; Organizational Blueprint</w:t>
      </w:r>
    </w:p>
    <w:p>
      <w:r>
        <w:t>Comprehensive overview of the human, AI, infrastructure, and partner resources required to operate and scale the autonomous AI-driven business system connecting Asia–US supply chains (2025–2035).</w:t>
      </w:r>
    </w:p>
    <w:p>
      <w:pPr>
        <w:pStyle w:val="Heading2"/>
      </w:pPr>
      <w:r>
        <w:t>1. Overview</w:t>
      </w:r>
    </w:p>
    <w:p>
      <w:r>
        <w:t>This blueprint details the structural, technical, and operational resources for a fully AI-managed business model with zero permanent employees. It includes multi-agent architecture (39–41 agents), governance framework, infrastructure requirements, human oversight roles, and partnership strategy.</w:t>
      </w:r>
    </w:p>
    <w:p>
      <w:pPr>
        <w:pStyle w:val="Heading2"/>
      </w:pPr>
      <w:r>
        <w:t>2. Human Resources</w:t>
      </w:r>
    </w:p>
    <w:p>
      <w:r>
        <w:t>Despite automation, human oversight remains critical for ethics, governance, and system design. Core roles include:</w:t>
      </w:r>
    </w:p>
    <w:p>
      <w:r>
        <w:t>• AI System Architect – designs agent orchestration, workflows, and data governance.</w:t>
        <w:br/>
        <w:t>• Data Engineer – builds pipelines, ETL, and manages vector databases.</w:t>
        <w:br/>
        <w:t>• Prompt &amp; Policy Engineer – writes guardrails, prompt chains, and testing rules.</w:t>
        <w:br/>
        <w:t>• DevOps/SRE – manages infrastructure, scaling, and monitoring.</w:t>
        <w:br/>
        <w:t>• Governance Council (3–5 members) – legal, ethical, and strategic oversight.</w:t>
        <w:br/>
        <w:t>• Legal Entity Representative – handles contracts, taxes, and compliance.</w:t>
      </w:r>
    </w:p>
    <w:p>
      <w:r>
        <w:t>Initial team size: 8–12 experts, scalable down to 2–3 after automation maturity.</w:t>
      </w:r>
    </w:p>
    <w:p>
      <w:pPr>
        <w:pStyle w:val="Heading2"/>
      </w:pPr>
      <w:r>
        <w:t>3. AI Agent Ecosystem (39–41 total)</w:t>
      </w:r>
    </w:p>
    <w:p>
      <w:r>
        <w:t>Agents are categorized into seven layers with key responsibilities:</w:t>
      </w:r>
    </w:p>
    <w:p>
      <w:r>
        <w:t>1. Operational Core (8 agents): Growth, Sales, CS, Ops, Finance, Logistics Ops, Policy &amp; Trade Risk, Strategy/Manager.</w:t>
        <w:br/>
        <w:t>2. Governance Layer (7): Vision Planner, Ethics &amp; Compliance, Human-AI Collaboration, Scenario Architect, Legacy/Knowledge, Comms/Diplomacy, Capital.</w:t>
        <w:br/>
        <w:t>3. Cognition Layer (6): Data Pipeline, Analytics, Forecasting, Simulation, RAG, Eval.</w:t>
        <w:br/>
        <w:t>4. Interface Layer (5): UX/Conversation, Documentation, Localization, Contract, Feedback.</w:t>
        <w:br/>
        <w:t>5. Safety &amp; Audit Layer (5): Audit Trail, Policy Enforcement, Anomaly Detection, Security &amp; Access, Explainability.</w:t>
        <w:br/>
        <w:t>6. Infrastructure Layer (5): Deployment, Scaling, Cost Optimization, Backup/Recovery, Self-Test.</w:t>
        <w:br/>
        <w:t>7. External Integration (3–5): API Broker, Partner, Regulatory, Media/PR.</w:t>
      </w:r>
    </w:p>
    <w:p>
      <w:pPr>
        <w:pStyle w:val="Heading2"/>
      </w:pPr>
      <w:r>
        <w:t>4. Infrastructure Requirements</w:t>
      </w:r>
    </w:p>
    <w:p>
      <w:r>
        <w:t>• Compute: GPU clusters (A100/H100) or API access to foundation models.</w:t>
        <w:br/>
        <w:t>• Storage: Object Store (S3/GCS), Vector DB (Weaviate/Pinecone/pgVector).</w:t>
        <w:br/>
        <w:t>• Pipeline: Airbyte, Prefect, dbt for ETL.</w:t>
        <w:br/>
        <w:t>• Queue: Kafka/SQS for task orchestration.</w:t>
        <w:br/>
        <w:t>• Monitoring: Prometheus, Grafana, OpenTelemetry.</w:t>
        <w:br/>
        <w:t>• Orchestration: Temporal, LangGraph, CrewAI.</w:t>
        <w:br/>
        <w:t>• Security: IAM, token rotation, encryption, audit logging.</w:t>
      </w:r>
    </w:p>
    <w:p>
      <w:r>
        <w:t>Estimated infrastructure cost: USD 500K–1M per year depending on scale and hosting model.</w:t>
      </w:r>
    </w:p>
    <w:p>
      <w:pPr>
        <w:pStyle w:val="Heading2"/>
      </w:pPr>
      <w:r>
        <w:t>5. Data Resources</w:t>
      </w:r>
    </w:p>
    <w:p>
      <w:r>
        <w:t>• Internal Data: SOPs, CRM, operations logs, financial data.</w:t>
        <w:br/>
        <w:t>• External Data: trade regulations, logistics, market indicators, tariffs.</w:t>
        <w:br/>
        <w:t>• Ontology: structured schema linking operational, legal, and market entities.</w:t>
        <w:br/>
        <w:t>• Data refresh cycle: daily (transactional) to weekly (regulatory updates).</w:t>
      </w:r>
    </w:p>
    <w:p>
      <w:pPr>
        <w:pStyle w:val="Heading2"/>
      </w:pPr>
      <w:r>
        <w:t>6. Strategic Partnerships</w:t>
      </w:r>
    </w:p>
    <w:p>
      <w:r>
        <w:t>Partnerships enable scaling and cross-border integration:</w:t>
        <w:br/>
        <w:t>• Cloud and AI Model Providers (OpenAI, Anthropic, AWS, GCP, Azure).</w:t>
        <w:br/>
        <w:t>• Logistics Integrators (Maersk, Flexport, DHL APIs).</w:t>
        <w:br/>
        <w:t>• Legal &amp; Compliance Advisors (EY, PwC, local regulators).</w:t>
        <w:br/>
        <w:t>• Data Vendors (UN Comtrade, Panjiva, MarineTraffic).</w:t>
        <w:br/>
        <w:t>• Financial Institutions for automated banking and reporting.</w:t>
      </w:r>
    </w:p>
    <w:p>
      <w:pPr>
        <w:pStyle w:val="Heading2"/>
      </w:pPr>
      <w:r>
        <w:t>7. Governance Framework</w:t>
      </w:r>
    </w:p>
    <w:p>
      <w:r>
        <w:t>Governance is embedded into architecture ('hardware-level ethics'):</w:t>
        <w:br/>
        <w:t>• Policy Enforcement Agent validates every decision.</w:t>
        <w:br/>
        <w:t>• Explainability logs (prompt, model, data source, version).</w:t>
        <w:br/>
        <w:t>• Immutable audit trail with kill-switch control.</w:t>
        <w:br/>
        <w:t>• Human-in-the-loop for high-risk decisions (legal, financial, ethical).</w:t>
      </w:r>
    </w:p>
    <w:p>
      <w:pPr>
        <w:pStyle w:val="Heading2"/>
      </w:pPr>
      <w:r>
        <w:t>8. Deployment Roadmap (3-Year Plan)</w:t>
      </w:r>
    </w:p>
    <w:p>
      <w:r>
        <w:t>Phase 1 (0–6 months): Prototype 6 core agents, build pipeline &amp; monitoring.</w:t>
        <w:br/>
        <w:t>Phase 2 (6–18 months): Add logistics, policy, and finance layers; integrate compliance.</w:t>
        <w:br/>
        <w:t>Phase 3 (18–36 months): Full multi-agent orchestration with self-healing, cross-region operations, and ethical auditing.</w:t>
      </w:r>
    </w:p>
    <w:p>
      <w:pPr>
        <w:pStyle w:val="Heading2"/>
      </w:pPr>
      <w:r>
        <w:t>9. Sustainability &amp; Expansion</w:t>
      </w:r>
    </w:p>
    <w:p>
      <w:r>
        <w:t>To ensure durability beyond 3 years:</w:t>
        <w:br/>
        <w:t>• Implement self-learning pipelines and periodic retraining.</w:t>
        <w:br/>
        <w:t>• Maintain human oversight via Governance Council.</w:t>
        <w:br/>
        <w:t>• Ensure multi-region data compliance and financial transparency.</w:t>
        <w:br/>
        <w:t>• Use modular agent clusters to scale across markets (Asia, Americas, Europe).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