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B4F8A"/>
          <w:sz w:val="56"/>
          <w:szCs w:val="56"/>
        </w:rPr>
        <w:t xml:space="preserve">OPEN FINANCIAL DATA PROTOCOL</w:t>
      </w:r>
    </w:p>
    <w:p>
      <w:pPr>
        <w:spacing w:after="80" w:before="0"/>
        <w:jc w:val="center"/>
      </w:pPr>
      <w:r>
        <w:rPr>
          <w:rFonts w:ascii="Arial" w:cs="Arial" w:eastAsia="Arial" w:hAnsi="Arial"/>
          <w:color w:val="2E75B6"/>
          <w:sz w:val="28"/>
          <w:szCs w:val="28"/>
        </w:rPr>
        <w:t xml:space="preserve">OFDP Specification v0.1 — Draft</w:t>
      </w:r>
    </w:p>
    <w:p>
      <w:pPr>
        <w:pBdr>
          <w:bottom w:val="single" w:color="2E75B6" w:sz="6" w:space="4"/>
        </w:pBdr>
        <w:spacing w:after="400" w:before="0"/>
        <w:jc w:val="center"/>
      </w:pPr>
      <w:r>
        <w:rPr>
          <w:rFonts w:ascii="Arial" w:cs="Arial" w:eastAsia="Arial" w:hAnsi="Arial"/>
          <w:i/>
          <w:iCs/>
          <w:color w:val="444444"/>
          <w:sz w:val="24"/>
          <w:szCs w:val="24"/>
        </w:rPr>
        <w:t xml:space="preserve">Consumer-Owned. Federated. AI-Native.</w:t>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Status</w:t>
            </w:r>
          </w:p>
          <w:p>
            <w:r>
              <w:rPr>
                <w:rFonts w:ascii="Arial" w:cs="Arial" w:eastAsia="Arial" w:hAnsi="Arial"/>
                <w:sz w:val="20"/>
                <w:szCs w:val="20"/>
              </w:rPr>
              <w:t xml:space="preserve">Draft — Request for Comment</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Version</w:t>
            </w:r>
          </w:p>
          <w:p>
            <w:r>
              <w:rPr>
                <w:rFonts w:ascii="Arial" w:cs="Arial" w:eastAsia="Arial" w:hAnsi="Arial"/>
                <w:sz w:val="20"/>
                <w:szCs w:val="20"/>
              </w:rPr>
              <w:t xml:space="preserve">0.1.0</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Date</w:t>
            </w:r>
          </w:p>
          <w:p>
            <w:r>
              <w:rPr>
                <w:rFonts w:ascii="Arial" w:cs="Arial" w:eastAsia="Arial" w:hAnsi="Arial"/>
                <w:sz w:val="20"/>
                <w:szCs w:val="20"/>
              </w:rPr>
              <w:t xml:space="preserve">May 2026</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License</w:t>
            </w:r>
          </w:p>
          <w:p>
            <w:r>
              <w:rPr>
                <w:rFonts w:ascii="Arial" w:cs="Arial" w:eastAsia="Arial" w:hAnsi="Arial"/>
                <w:sz w:val="20"/>
                <w:szCs w:val="20"/>
              </w:rPr>
              <w:t xml:space="preserve">Open — To Be Determined</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1. Introduction</w:t>
      </w:r>
    </w:p>
    <w:p>
      <w:pPr>
        <w:spacing w:after="80" w:before="80"/>
      </w:pPr>
      <w:r>
        <w:rPr>
          <w:rFonts w:ascii="Arial" w:cs="Arial" w:eastAsia="Arial" w:hAnsi="Arial"/>
          <w:sz w:val="22"/>
          <w:szCs w:val="22"/>
        </w:rPr>
        <w:t xml:space="preserve">The Open Financial Data Protocol (OFDP) is a consumer-owned, federated, open standard for personal financial data. It defines how financial data is structured, stored, shared, and verified across institutions, applications, and AI systems.</w:t>
      </w:r>
    </w:p>
    <w:p>
      <w:pPr>
        <w:spacing w:after="0" w:before="80"/>
      </w:pPr>
      <w:r>
        <w:t xml:space="preserve"/>
      </w:r>
    </w:p>
    <w:p>
      <w:pPr>
        <w:spacing w:after="80" w:before="80"/>
      </w:pPr>
      <w:r>
        <w:rPr>
          <w:rFonts w:ascii="Arial" w:cs="Arial" w:eastAsia="Arial" w:hAnsi="Arial"/>
          <w:sz w:val="22"/>
          <w:szCs w:val="22"/>
        </w:rPr>
        <w:t xml:space="preserve">OFDP is not a payment system. It is a data layer — a ledger that normalizes financial information so that consumers, institutions, and AI agents can communicate using a shared language regardless of the underlying payment rail, institution type, or account format.</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1.1 Motivation</w:t>
      </w:r>
    </w:p>
    <w:p>
      <w:pPr>
        <w:spacing w:after="80" w:before="80"/>
      </w:pPr>
      <w:r>
        <w:rPr>
          <w:rFonts w:ascii="Arial" w:cs="Arial" w:eastAsia="Arial" w:hAnsi="Arial"/>
          <w:sz w:val="22"/>
          <w:szCs w:val="22"/>
        </w:rPr>
        <w:t xml:space="preserve">Consumer financial data is currently fragmented across hundreds of institutions, each with proprietary formats, limited export capabilities, and commercial incentives that do not align with consumer interests. Existing aggregation solutions — Plaid, MX, Finicity — operate as centralized intermediaries that charge institutions for access to consumer data the consumer generated.</w:t>
      </w:r>
    </w:p>
    <w:p>
      <w:pPr>
        <w:spacing w:after="0" w:before="80"/>
      </w:pPr>
      <w:r>
        <w:t xml:space="preserve"/>
      </w:r>
    </w:p>
    <w:p>
      <w:pPr>
        <w:spacing w:after="80" w:before="80"/>
      </w:pPr>
      <w:r>
        <w:rPr>
          <w:rFonts w:ascii="Arial" w:cs="Arial" w:eastAsia="Arial" w:hAnsi="Arial"/>
          <w:sz w:val="22"/>
          <w:szCs w:val="22"/>
        </w:rPr>
        <w:t xml:space="preserve">Regulatory momentum under Section 1033 of the Dodd-Frank Act and the CFPB's Personal Financial Data Rights rule mandates that institutions make consumer data available through standard APIs. The Financial Data Exchange (FDX) has been recognized as the standard-setting body for institutional data sharing. However, FDX is a B2B protocol — it defines how institutions talk to authorized third parties, not how consumers own and control their own data.</w:t>
      </w:r>
    </w:p>
    <w:p>
      <w:pPr>
        <w:spacing w:after="0" w:before="80"/>
      </w:pPr>
      <w:r>
        <w:t xml:space="preserve"/>
      </w:r>
    </w:p>
    <w:p>
      <w:pPr>
        <w:spacing w:after="80" w:before="80"/>
      </w:pPr>
      <w:r>
        <w:rPr>
          <w:rFonts w:ascii="Arial" w:cs="Arial" w:eastAsia="Arial" w:hAnsi="Arial"/>
          <w:sz w:val="22"/>
          <w:szCs w:val="22"/>
        </w:rPr>
        <w:t xml:space="preserve">OFDP fills the gap between institutional data infrastructure and consumer data sovereignty. It is designed to interface with FDX and ISO 20022 on the institutional side while providing consumers with a self-hostable, AI-native data layer they fully control.</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1.2 Design Principles</w:t>
      </w:r>
    </w:p>
    <w:p>
      <w:pPr>
        <w:pStyle w:val="ListParagraph"/>
        <w:numPr>
          <w:ilvl w:val="0"/>
          <w:numId w:val="2"/>
        </w:numPr>
        <w:spacing w:after="60" w:before="60"/>
      </w:pPr>
      <w:r>
        <w:rPr>
          <w:rFonts w:ascii="Arial" w:cs="Arial" w:eastAsia="Arial" w:hAnsi="Arial"/>
          <w:sz w:val="22"/>
          <w:szCs w:val="22"/>
        </w:rPr>
        <w:t xml:space="preserve">Consumer ownership. The consumer's instance is the authoritative source for their financial identity. Institutions are data sources, not data owners.</w:t>
      </w:r>
    </w:p>
    <w:p>
      <w:pPr>
        <w:pStyle w:val="ListParagraph"/>
        <w:numPr>
          <w:ilvl w:val="0"/>
          <w:numId w:val="2"/>
        </w:numPr>
        <w:spacing w:after="60" w:before="60"/>
      </w:pPr>
      <w:r>
        <w:rPr>
          <w:rFonts w:ascii="Arial" w:cs="Arial" w:eastAsia="Arial" w:hAnsi="Arial"/>
          <w:sz w:val="22"/>
          <w:szCs w:val="22"/>
        </w:rPr>
        <w:t xml:space="preserve">Federation over centralization. Any individual or institution can run an OFDP instance. Instances communicate through a standardized protocol without requiring a central authority for data exchange.</w:t>
      </w:r>
    </w:p>
    <w:p>
      <w:pPr>
        <w:pStyle w:val="ListParagraph"/>
        <w:numPr>
          <w:ilvl w:val="0"/>
          <w:numId w:val="2"/>
        </w:numPr>
        <w:spacing w:after="60" w:before="60"/>
      </w:pPr>
      <w:r>
        <w:rPr>
          <w:rFonts w:ascii="Arial" w:cs="Arial" w:eastAsia="Arial" w:hAnsi="Arial"/>
          <w:sz w:val="22"/>
          <w:szCs w:val="22"/>
        </w:rPr>
        <w:t xml:space="preserve">Privacy by default. Institutions cannot reach into consumer instances. Consumers pull data on their own schedule and grant access explicitly.</w:t>
      </w:r>
    </w:p>
    <w:p>
      <w:pPr>
        <w:pStyle w:val="ListParagraph"/>
        <w:numPr>
          <w:ilvl w:val="0"/>
          <w:numId w:val="2"/>
        </w:numPr>
        <w:spacing w:after="60" w:before="60"/>
      </w:pPr>
      <w:r>
        <w:rPr>
          <w:rFonts w:ascii="Arial" w:cs="Arial" w:eastAsia="Arial" w:hAnsi="Arial"/>
          <w:sz w:val="22"/>
          <w:szCs w:val="22"/>
        </w:rPr>
        <w:t xml:space="preserve">Provenance as a first-class requirement. All externally sourced data carries metadata describing its origin, verification status, and confidence level.</w:t>
      </w:r>
    </w:p>
    <w:p>
      <w:pPr>
        <w:pStyle w:val="ListParagraph"/>
        <w:numPr>
          <w:ilvl w:val="0"/>
          <w:numId w:val="2"/>
        </w:numPr>
        <w:spacing w:after="60" w:before="60"/>
      </w:pPr>
      <w:r>
        <w:rPr>
          <w:rFonts w:ascii="Arial" w:cs="Arial" w:eastAsia="Arial" w:hAnsi="Arial"/>
          <w:sz w:val="22"/>
          <w:szCs w:val="22"/>
        </w:rPr>
        <w:t xml:space="preserve">Lightweight enough to self-host. The core protocol is designed to run on modest hardware, including consumer-grade computers, enabling individuals to host their own financial data without cloud dependency.</w:t>
      </w:r>
    </w:p>
    <w:p>
      <w:pPr>
        <w:pStyle w:val="ListParagraph"/>
        <w:numPr>
          <w:ilvl w:val="0"/>
          <w:numId w:val="2"/>
        </w:numPr>
        <w:spacing w:after="60" w:before="60"/>
      </w:pPr>
      <w:r>
        <w:rPr>
          <w:rFonts w:ascii="Arial" w:cs="Arial" w:eastAsia="Arial" w:hAnsi="Arial"/>
          <w:sz w:val="22"/>
          <w:szCs w:val="22"/>
        </w:rPr>
        <w:t xml:space="preserve">AI-native. The data model and API are designed to be consumed by AI agents natively, with structured, normalized data that does not require transformation before analysis.</w:t>
      </w:r>
    </w:p>
    <w:p>
      <w:pPr>
        <w:pStyle w:val="ListParagraph"/>
        <w:numPr>
          <w:ilvl w:val="0"/>
          <w:numId w:val="2"/>
        </w:numPr>
        <w:spacing w:after="60" w:before="60"/>
      </w:pPr>
      <w:r>
        <w:rPr>
          <w:rFonts w:ascii="Arial" w:cs="Arial" w:eastAsia="Arial" w:hAnsi="Arial"/>
          <w:sz w:val="22"/>
          <w:szCs w:val="22"/>
        </w:rPr>
        <w:t xml:space="preserve">Extensible without fragmentation. Optional extension modules cover specialized use cases. Institutions are never penalized for not implementing extensions.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1.3 Relationship to Existing Standards</w:t>
      </w:r>
    </w:p>
    <w:p>
      <w:pPr>
        <w:spacing w:after="80" w:before="80"/>
      </w:pPr>
      <w:r>
        <w:rPr>
          <w:rFonts w:ascii="Arial" w:cs="Arial" w:eastAsia="Arial" w:hAnsi="Arial"/>
          <w:sz w:val="22"/>
          <w:szCs w:val="22"/>
        </w:rPr>
        <w:t xml:space="preserve">OFDP is designed to coexist with and interface to existing financial data standards, not replace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OFDP Relationship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FDX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Institutional data sharing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consumes FDX-compliant APIs as a data source. FDX-certified institutions receive highest trust tier.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ISO 20022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message standard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maps ISO 20022 transaction fields to core Transaction schema.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SWIFT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Interbank messaging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Institutional-layer only. OFDP uses SWIFT codes for institution identification.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ACH / Zelle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rails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execution only. OFDP records resulting transactions.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OAuth 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Authorization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uses OAuth 2.0 as the authentication foundation for ConnectionRequests.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MCP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AI data integration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instances can expose an MCP server enabling AI agents to query financial data natively.</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2. Provenance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0"/>
            </w:pPr>
            <w:r>
              <w:rPr>
                <w:rFonts w:ascii="Arial" w:cs="Arial" w:eastAsia="Arial" w:hAnsi="Arial"/>
                <w:b/>
                <w:bCs/>
                <w:color w:val="1B4F8A"/>
                <w:sz w:val="22"/>
                <w:szCs w:val="22"/>
              </w:rPr>
              <w:t xml:space="preserve">Core Protocol Requirement</w:t>
            </w:r>
          </w:p>
          <w:p>
            <w:pPr>
              <w:spacing w:after="0" w:before="0"/>
            </w:pPr>
            <w:r>
              <w:rPr>
                <w:rFonts w:ascii="Arial" w:cs="Arial" w:eastAsia="Arial" w:hAnsi="Arial"/>
                <w:color w:val="444444"/>
                <w:sz w:val="20"/>
                <w:szCs w:val="20"/>
              </w:rPr>
              <w:t xml:space="preserve">All externally sourced data in OFDP carries provenance metadata including source, verification status, retrieval timestamp, and confidence level. Conflicts between records of the same data point are resolved by the provenance hierarchy defined in this section. This requirement is non-negotiable and applies to every data entity in the protocol.</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2.1 ProvenanceBase</w:t>
      </w:r>
    </w:p>
    <w:p>
      <w:pPr>
        <w:spacing w:after="80" w:before="80"/>
      </w:pPr>
      <w:r>
        <w:rPr>
          <w:rFonts w:ascii="Arial" w:cs="Arial" w:eastAsia="Arial" w:hAnsi="Arial"/>
          <w:sz w:val="22"/>
          <w:szCs w:val="22"/>
        </w:rPr>
        <w:t xml:space="preserve">Every schema that contains externally sourced data extends ProvenanceBase. This is enforced at the protocol level — any compliant implementation that omits provenance fields on applicable records is non-compliant.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ProvenanceBase — Extended by all external data entities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origin. See Section 2.2 for ranked source hierarchy.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is_verified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the institution confirmed this data from its authoritative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verified_by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or system that performed verification. Null if unverified.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verified_date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verification occurred. Null if unverified.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retrieved_date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protocol instance received this data.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source_institution_id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that provided the data. Null for user-entered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delivery_mechanism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direct / aggregator / user_upload / computed / null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aggregator_id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Which aggregator delivered the data,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high / medium / low / unknown — protocol-level trust signal for AI consumers.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2.2 Source Hierarchy</w:t>
      </w:r>
    </w:p>
    <w:p>
      <w:pPr>
        <w:spacing w:after="80" w:before="80"/>
      </w:pPr>
      <w:r>
        <w:rPr>
          <w:rFonts w:ascii="Arial" w:cs="Arial" w:eastAsia="Arial" w:hAnsi="Arial"/>
          <w:sz w:val="22"/>
          <w:szCs w:val="22"/>
        </w:rPr>
        <w:t xml:space="preserve">Sources are ranked 1 (highest trust) through 12 (lowest trust). This ranking governs automatic conflict resolution under Rule 1 (Section 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institution_api + is_verified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delivered via institution API and confirmed from authoritative core banking system.</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fdx_api + is_verified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Data delivered via FDX-compliant API with verification flag set.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contract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Stated terms in a loan, account agreement, or legal document.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government_api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IRS transcript, studentaid.gov, Social Security Administration API.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institution_api (unverified)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delivered via institution API without explicit verification confirmation.</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computed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Derived from one or more rank 1-4 sources using protocol-defined calculations.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credit_bureau</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Experian, Equifax, or TransUnion. Authoritative for credit history; error-prone.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screen_scraped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Parsed from institution web interface. No API contract guaranteeing data format.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aggregator (pass-through)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Delivered by a third-party aggregator. Underlying source type governs rank.</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document_import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Extracted from user-uploaded statement PDF or scanned receipt.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manual_import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Imported from CSV, OFX, or QIF file by the user.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user_entered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Entered directly by the user with no supporting document.</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2.3 Verification Tiers</w:t>
      </w:r>
    </w:p>
    <w:p>
      <w:pPr>
        <w:spacing w:after="80" w:before="80"/>
      </w:pPr>
      <w:r>
        <w:rPr>
          <w:rFonts w:ascii="Arial" w:cs="Arial" w:eastAsia="Arial" w:hAnsi="Arial"/>
          <w:sz w:val="22"/>
          <w:szCs w:val="22"/>
        </w:rPr>
        <w:t xml:space="preserve">Institutions participating in OFDP are assigned a verification tier. Higher tiers unlock higher source rankings and stronger trust signals for consumers and AI agents consuming their data.</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4 — Self Certified</w:t>
      </w:r>
    </w:p>
    <w:p>
      <w:pPr>
        <w:pStyle w:val="ListParagraph"/>
        <w:numPr>
          <w:ilvl w:val="0"/>
          <w:numId w:val="2"/>
        </w:numPr>
        <w:spacing w:after="60" w:before="60"/>
      </w:pPr>
      <w:r>
        <w:rPr>
          <w:rFonts w:ascii="Arial" w:cs="Arial" w:eastAsia="Arial" w:hAnsi="Arial"/>
          <w:sz w:val="22"/>
          <w:szCs w:val="22"/>
        </w:rPr>
        <w:t xml:space="preserve">Valid legal entity registration</w:t>
      </w:r>
    </w:p>
    <w:p>
      <w:pPr>
        <w:pStyle w:val="ListParagraph"/>
        <w:numPr>
          <w:ilvl w:val="0"/>
          <w:numId w:val="2"/>
        </w:numPr>
        <w:spacing w:after="60" w:before="60"/>
      </w:pPr>
      <w:r>
        <w:rPr>
          <w:rFonts w:ascii="Arial" w:cs="Arial" w:eastAsia="Arial" w:hAnsi="Arial"/>
          <w:sz w:val="22"/>
          <w:szCs w:val="22"/>
        </w:rPr>
        <w:t xml:space="preserve">Registered endpoint in protocol registry</w:t>
      </w:r>
    </w:p>
    <w:p>
      <w:pPr>
        <w:pStyle w:val="ListParagraph"/>
        <w:numPr>
          <w:ilvl w:val="0"/>
          <w:numId w:val="2"/>
        </w:numPr>
        <w:spacing w:after="60" w:before="60"/>
      </w:pPr>
      <w:r>
        <w:rPr>
          <w:rFonts w:ascii="Arial" w:cs="Arial" w:eastAsia="Arial" w:hAnsi="Arial"/>
          <w:sz w:val="22"/>
          <w:szCs w:val="22"/>
        </w:rPr>
        <w:t xml:space="preserve">Self-signed certificate with institution private key</w:t>
      </w:r>
    </w:p>
    <w:p>
      <w:pPr>
        <w:pStyle w:val="ListParagraph"/>
        <w:numPr>
          <w:ilvl w:val="0"/>
          <w:numId w:val="2"/>
        </w:numPr>
        <w:spacing w:after="60" w:before="60"/>
      </w:pPr>
      <w:r>
        <w:rPr>
          <w:rFonts w:ascii="Arial" w:cs="Arial" w:eastAsia="Arial" w:hAnsi="Arial"/>
          <w:sz w:val="22"/>
          <w:szCs w:val="22"/>
        </w:rPr>
        <w:t xml:space="preserve">Endpoint passes API compliance test suite</w:t>
      </w:r>
    </w:p>
    <w:p>
      <w:pPr>
        <w:pStyle w:val="ListParagraph"/>
        <w:numPr>
          <w:ilvl w:val="0"/>
          <w:numId w:val="2"/>
        </w:numPr>
        <w:spacing w:after="60" w:before="60"/>
      </w:pPr>
      <w:r>
        <w:rPr>
          <w:rFonts w:ascii="Arial" w:cs="Arial" w:eastAsia="Arial" w:hAnsi="Arial"/>
          <w:sz w:val="22"/>
          <w:szCs w:val="22"/>
        </w:rPr>
        <w:t xml:space="preserve">Provenance metadata on all responses</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3 — Protocol Certified</w:t>
      </w:r>
    </w:p>
    <w:p>
      <w:pPr>
        <w:pStyle w:val="ListParagraph"/>
        <w:numPr>
          <w:ilvl w:val="0"/>
          <w:numId w:val="2"/>
        </w:numPr>
        <w:spacing w:after="60" w:before="60"/>
      </w:pPr>
      <w:r>
        <w:rPr>
          <w:rFonts w:ascii="Arial" w:cs="Arial" w:eastAsia="Arial" w:hAnsi="Arial"/>
          <w:sz w:val="22"/>
          <w:szCs w:val="22"/>
        </w:rPr>
        <w:t xml:space="preserve">All Tier 4 requirements</w:t>
      </w:r>
    </w:p>
    <w:p>
      <w:pPr>
        <w:pStyle w:val="ListParagraph"/>
        <w:numPr>
          <w:ilvl w:val="0"/>
          <w:numId w:val="2"/>
        </w:numPr>
        <w:spacing w:after="60" w:before="60"/>
      </w:pPr>
      <w:r>
        <w:rPr>
          <w:rFonts w:ascii="Arial" w:cs="Arial" w:eastAsia="Arial" w:hAnsi="Arial"/>
          <w:sz w:val="22"/>
          <w:szCs w:val="22"/>
        </w:rPr>
        <w:t xml:space="preserve">Legal entity verified against regulatory records</w:t>
      </w:r>
    </w:p>
    <w:p>
      <w:pPr>
        <w:pStyle w:val="ListParagraph"/>
        <w:numPr>
          <w:ilvl w:val="0"/>
          <w:numId w:val="2"/>
        </w:numPr>
        <w:spacing w:after="60" w:before="60"/>
      </w:pPr>
      <w:r>
        <w:rPr>
          <w:rFonts w:ascii="Arial" w:cs="Arial" w:eastAsia="Arial" w:hAnsi="Arial"/>
          <w:sz w:val="22"/>
          <w:szCs w:val="22"/>
        </w:rPr>
        <w:t xml:space="preserve">Routing or SWIFT code verified against authoritative registry</w:t>
      </w:r>
    </w:p>
    <w:p>
      <w:pPr>
        <w:pStyle w:val="ListParagraph"/>
        <w:numPr>
          <w:ilvl w:val="0"/>
          <w:numId w:val="2"/>
        </w:numPr>
        <w:spacing w:after="60" w:before="60"/>
      </w:pPr>
      <w:r>
        <w:rPr>
          <w:rFonts w:ascii="Arial" w:cs="Arial" w:eastAsia="Arial" w:hAnsi="Arial"/>
          <w:sz w:val="22"/>
          <w:szCs w:val="22"/>
        </w:rPr>
        <w:t xml:space="preserve">Certificate issued by OFDP foundation as intermediate CA</w:t>
      </w:r>
    </w:p>
    <w:p>
      <w:pPr>
        <w:pStyle w:val="ListParagraph"/>
        <w:numPr>
          <w:ilvl w:val="0"/>
          <w:numId w:val="2"/>
        </w:numPr>
        <w:spacing w:after="60" w:before="60"/>
      </w:pPr>
      <w:r>
        <w:rPr>
          <w:rFonts w:ascii="Arial" w:cs="Arial" w:eastAsia="Arial" w:hAnsi="Arial"/>
          <w:sz w:val="22"/>
          <w:szCs w:val="22"/>
        </w:rPr>
        <w:t xml:space="preserve">Annual recertification required</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2 — Verified Institution</w:t>
      </w:r>
    </w:p>
    <w:p>
      <w:pPr>
        <w:pStyle w:val="ListParagraph"/>
        <w:numPr>
          <w:ilvl w:val="0"/>
          <w:numId w:val="2"/>
        </w:numPr>
        <w:spacing w:after="60" w:before="60"/>
      </w:pPr>
      <w:r>
        <w:rPr>
          <w:rFonts w:ascii="Arial" w:cs="Arial" w:eastAsia="Arial" w:hAnsi="Arial"/>
          <w:sz w:val="22"/>
          <w:szCs w:val="22"/>
        </w:rPr>
        <w:t xml:space="preserve">All Tier 3 requirements</w:t>
      </w:r>
    </w:p>
    <w:p>
      <w:pPr>
        <w:pStyle w:val="ListParagraph"/>
        <w:numPr>
          <w:ilvl w:val="0"/>
          <w:numId w:val="2"/>
        </w:numPr>
        <w:spacing w:after="60" w:before="60"/>
      </w:pPr>
      <w:r>
        <w:rPr>
          <w:rFonts w:ascii="Arial" w:cs="Arial" w:eastAsia="Arial" w:hAnsi="Arial"/>
          <w:sz w:val="22"/>
          <w:szCs w:val="22"/>
        </w:rPr>
        <w:t xml:space="preserve">Responses include verification timestamp from core banking system</w:t>
      </w:r>
    </w:p>
    <w:p>
      <w:pPr>
        <w:pStyle w:val="ListParagraph"/>
        <w:numPr>
          <w:ilvl w:val="0"/>
          <w:numId w:val="2"/>
        </w:numPr>
        <w:spacing w:after="60" w:before="60"/>
      </w:pPr>
      <w:r>
        <w:rPr>
          <w:rFonts w:ascii="Arial" w:cs="Arial" w:eastAsia="Arial" w:hAnsi="Arial"/>
          <w:sz w:val="22"/>
          <w:szCs w:val="22"/>
        </w:rPr>
        <w:t xml:space="preserve">Institution certifies data is pulled from authoritative source, not cache</w:t>
      </w:r>
    </w:p>
    <w:p>
      <w:pPr>
        <w:pStyle w:val="ListParagraph"/>
        <w:numPr>
          <w:ilvl w:val="0"/>
          <w:numId w:val="2"/>
        </w:numPr>
        <w:spacing w:after="60" w:before="60"/>
      </w:pPr>
      <w:r>
        <w:rPr>
          <w:rFonts w:ascii="Arial" w:cs="Arial" w:eastAsia="Arial" w:hAnsi="Arial"/>
          <w:sz w:val="22"/>
          <w:szCs w:val="22"/>
        </w:rPr>
        <w:t xml:space="preserve">Institution maintains audit log of all data requests</w:t>
      </w:r>
    </w:p>
    <w:p>
      <w:pPr>
        <w:pStyle w:val="ListParagraph"/>
        <w:numPr>
          <w:ilvl w:val="0"/>
          <w:numId w:val="2"/>
        </w:numPr>
        <w:spacing w:after="60" w:before="60"/>
      </w:pPr>
      <w:r>
        <w:rPr>
          <w:rFonts w:ascii="Arial" w:cs="Arial" w:eastAsia="Arial" w:hAnsi="Arial"/>
          <w:sz w:val="22"/>
          <w:szCs w:val="22"/>
        </w:rPr>
        <w:t xml:space="preserve">Breach notification within 24 hours of security incident</w:t>
      </w:r>
    </w:p>
    <w:p>
      <w:pPr>
        <w:pStyle w:val="ListParagraph"/>
        <w:numPr>
          <w:ilvl w:val="0"/>
          <w:numId w:val="2"/>
        </w:numPr>
        <w:spacing w:after="60" w:before="60"/>
      </w:pPr>
      <w:r>
        <w:rPr>
          <w:rFonts w:ascii="Arial" w:cs="Arial" w:eastAsia="Arial" w:hAnsi="Arial"/>
          <w:sz w:val="22"/>
          <w:szCs w:val="22"/>
        </w:rPr>
        <w:t xml:space="preserve">Biannual compliance audit by OFDP foundation or designated third party</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1 — FDX Certified</w:t>
      </w:r>
    </w:p>
    <w:p>
      <w:pPr>
        <w:pStyle w:val="ListParagraph"/>
        <w:numPr>
          <w:ilvl w:val="0"/>
          <w:numId w:val="2"/>
        </w:numPr>
        <w:spacing w:after="60" w:before="60"/>
      </w:pPr>
      <w:r>
        <w:rPr>
          <w:rFonts w:ascii="Arial" w:cs="Arial" w:eastAsia="Arial" w:hAnsi="Arial"/>
          <w:sz w:val="22"/>
          <w:szCs w:val="22"/>
        </w:rPr>
        <w:t xml:space="preserve">All Tier 2 requirements</w:t>
      </w:r>
    </w:p>
    <w:p>
      <w:pPr>
        <w:pStyle w:val="ListParagraph"/>
        <w:numPr>
          <w:ilvl w:val="0"/>
          <w:numId w:val="2"/>
        </w:numPr>
        <w:spacing w:after="60" w:before="60"/>
      </w:pPr>
      <w:r>
        <w:rPr>
          <w:rFonts w:ascii="Arial" w:cs="Arial" w:eastAsia="Arial" w:hAnsi="Arial"/>
          <w:sz w:val="22"/>
          <w:szCs w:val="22"/>
        </w:rPr>
        <w:t xml:space="preserve">Current FDX certification in good standing</w:t>
      </w:r>
    </w:p>
    <w:p>
      <w:pPr>
        <w:pStyle w:val="ListParagraph"/>
        <w:numPr>
          <w:ilvl w:val="0"/>
          <w:numId w:val="2"/>
        </w:numPr>
        <w:spacing w:after="60" w:before="60"/>
      </w:pPr>
      <w:r>
        <w:rPr>
          <w:rFonts w:ascii="Arial" w:cs="Arial" w:eastAsia="Arial" w:hAnsi="Arial"/>
          <w:sz w:val="22"/>
          <w:szCs w:val="22"/>
        </w:rPr>
        <w:t xml:space="preserve">FDX API version compatibility with current protocol version</w:t>
      </w:r>
    </w:p>
    <w:p>
      <w:pPr>
        <w:pStyle w:val="ListParagraph"/>
        <w:numPr>
          <w:ilvl w:val="0"/>
          <w:numId w:val="2"/>
        </w:numPr>
        <w:spacing w:after="60" w:before="60"/>
      </w:pPr>
      <w:r>
        <w:rPr>
          <w:rFonts w:ascii="Arial" w:cs="Arial" w:eastAsia="Arial" w:hAnsi="Arial"/>
          <w:sz w:val="22"/>
          <w:szCs w:val="22"/>
        </w:rPr>
        <w:t xml:space="preserve">Data fields map directly to OFDP schema without transformation ambiguity</w:t>
      </w:r>
    </w:p>
    <w:p>
      <w:pPr>
        <w:pStyle w:val="ListParagraph"/>
        <w:numPr>
          <w:ilvl w:val="0"/>
          <w:numId w:val="2"/>
        </w:numPr>
        <w:spacing w:after="60" w:before="60"/>
      </w:pPr>
      <w:r>
        <w:rPr>
          <w:rFonts w:ascii="Arial" w:cs="Arial" w:eastAsia="Arial" w:hAnsi="Arial"/>
          <w:sz w:val="22"/>
          <w:szCs w:val="22"/>
        </w:rPr>
        <w:t xml:space="preserve">FDX compliance audit accepted in lieu of OFDP foundation audit</w:t>
      </w:r>
    </w:p>
    <w:p>
      <w:pPr>
        <w:spacing w:after="0" w:before="80"/>
      </w:pPr>
      <w:r>
        <w:t xml:space="preserve"/>
      </w:r>
    </w:p>
    <w:p>
      <w:pPr>
        <w:spacing w:after="0" w:before="160"/>
      </w:pPr>
      <w:r>
        <w:t xml:space="preserve"/>
      </w:r>
    </w:p>
    <w:p>
      <w:pPr>
        <w:pStyle w:val="Heading2"/>
        <w:spacing w:after="160" w:before="320"/>
      </w:pPr>
      <w:r>
        <w:rPr>
          <w:rFonts w:ascii="Arial" w:cs="Arial" w:eastAsia="Arial" w:hAnsi="Arial"/>
          <w:b/>
          <w:bCs/>
          <w:color w:val="2E75B6"/>
          <w:sz w:val="26"/>
          <w:szCs w:val="26"/>
        </w:rPr>
        <w:t xml:space="preserve">2.4 Conflict Resolution Rules</w:t>
      </w:r>
    </w:p>
    <w:p>
      <w:pPr>
        <w:spacing w:after="80" w:before="80"/>
      </w:pPr>
      <w:r>
        <w:rPr>
          <w:rFonts w:ascii="Arial" w:cs="Arial" w:eastAsia="Arial" w:hAnsi="Arial"/>
          <w:sz w:val="22"/>
          <w:szCs w:val="22"/>
        </w:rPr>
        <w:t xml:space="preserve">When two records describe the same data point, the following rules apply in order.</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1 — Higher Rank Wins Automatically</w:t>
      </w:r>
    </w:p>
    <w:p>
      <w:pPr>
        <w:spacing w:after="80" w:before="80"/>
      </w:pPr>
      <w:r>
        <w:rPr>
          <w:rFonts w:ascii="Arial" w:cs="Arial" w:eastAsia="Arial" w:hAnsi="Arial"/>
          <w:sz w:val="22"/>
          <w:szCs w:val="22"/>
        </w:rPr>
        <w:t xml:space="preserve">When two records have sources of different ranks, the higher ranked source is accepted as canonical. The lower ranked record is retained with status superseded. No user intervention is required. The resolution is logged in ConflictResolution with resolved_by: system.</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2 — Equal Rank Conflicts Escalate to User</w:t>
      </w:r>
    </w:p>
    <w:p>
      <w:pPr>
        <w:spacing w:after="80" w:before="80"/>
      </w:pPr>
      <w:r>
        <w:rPr>
          <w:rFonts w:ascii="Arial" w:cs="Arial" w:eastAsia="Arial" w:hAnsi="Arial"/>
          <w:sz w:val="22"/>
          <w:szCs w:val="22"/>
        </w:rPr>
        <w:t xml:space="preserve">When two records have sources of the same rank, neither automatically wins. The conflict is surfaced to the user showing both values, their sources, and a choose-one interface. The user's choice is recorded in ConflictResolution with resolved_by: user.</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3 — Significant Divergence Triggers Alert Regardless of Rank</w:t>
      </w:r>
    </w:p>
    <w:p>
      <w:pPr>
        <w:spacing w:after="80" w:before="80"/>
      </w:pPr>
      <w:r>
        <w:rPr>
          <w:rFonts w:ascii="Arial" w:cs="Arial" w:eastAsia="Arial" w:hAnsi="Arial"/>
          <w:sz w:val="22"/>
          <w:szCs w:val="22"/>
        </w:rPr>
        <w:t xml:space="preserve">When Rule 1 resolves a conflict automatically but the difference between values exceeds a defined threshold, the conflict is flagged for user review even though it was automatically resolved. This pattern is consistent with data entry errors, institution errors, or potential fraud.</w:t>
      </w:r>
    </w:p>
    <w:p>
      <w:pPr>
        <w:spacing w:after="0" w:before="80"/>
      </w:pPr>
      <w:r>
        <w:t xml:space="preserve"/>
      </w:r>
    </w:p>
    <w:p>
      <w:pPr>
        <w:spacing w:after="80" w:before="80"/>
      </w:pPr>
      <w:r>
        <w:rPr>
          <w:rFonts w:ascii="Arial" w:cs="Arial" w:eastAsia="Arial" w:hAnsi="Arial"/>
          <w:sz w:val="22"/>
          <w:szCs w:val="22"/>
        </w:rPr>
        <w:t xml:space="preserve">Default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Threshold Type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Threshold Value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Alert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Transaction amount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percentage or absolute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5% or $10 (smaller)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balance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percentage or absolute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1% or $100 (smaller)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Interest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any difference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any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price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percentage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10%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warning</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3. Core Data Schema</w:t>
      </w:r>
    </w:p>
    <w:p>
      <w:pPr>
        <w:spacing w:after="80" w:before="80"/>
      </w:pPr>
      <w:r>
        <w:rPr>
          <w:rFonts w:ascii="Arial" w:cs="Arial" w:eastAsia="Arial" w:hAnsi="Arial"/>
          <w:sz w:val="22"/>
          <w:szCs w:val="22"/>
        </w:rPr>
        <w:t xml:space="preserve">This section defines all data entities in the OFDP core protocol. Extension modules are defined in Section 6. All entities that contain externally sourced data extend ProvenanceBase as defined in Section 2.1.</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3.1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human / institution /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Display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Contact email. Nullable for institution and system users.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If type is institution, references the Institution record.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user account is active.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 family / advisor / admin / superadmin / developer / institutional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Human-readable description of this role's capabilities.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Permission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 transaction / transaction_item / vendor / balance / interest_rate / holding / asset / category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read / write / delete / export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Human-readable description of this permission.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RolePermission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role this permission belongs to.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permission_id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permission granted to this role.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UserRole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user holding this role.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role being assigned.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who granted this role.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role was granted.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role expires. Null for permanent roles.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UserAccountAccess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being granted access.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being accessed.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Which role applies to this specific account relationship.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(typically account owner) who granted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access was granted.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access expires. Null for permanent access.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3.2 Trust and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Certificate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institution being certified.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issued_by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CA or trusted issuer that issued this certificate.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Institution's public key for signature verification.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issued_date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certificate was issued.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certificate expires.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revoked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certificate has been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revoked_date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revocation occurred. Null if not revoked.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revocation_reason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Reason for revocation. Null if not revoked.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TrustedIssuer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entity acting as certificate authority.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trust_level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root / intermediate / self_signed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added_by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Who added this issuer to the trust store.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added_date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issuer was added.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ConnectionRequest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requesting_user_id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or third party requesting data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target_user_id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Consumer whose data is being requested.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certificate_id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Certificate.id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Certificate proving requester identity.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approved / denied /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request was submitted.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request was approved or denied.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requested_permissions[]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Array of permissions the requester is asking for.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granted_permissions[]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of permissions actually granted. May differ from requested.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3.3 Institutions</w:t>
      </w:r>
    </w:p>
    <w:p>
      <w:pPr>
        <w:spacing w:after="80" w:before="80"/>
      </w:pPr>
      <w:r>
        <w:rPr>
          <w:rFonts w:ascii="Arial" w:cs="Arial" w:eastAsia="Arial" w:hAnsi="Arial"/>
          <w:sz w:val="22"/>
          <w:szCs w:val="22"/>
        </w:rPr>
        <w:t xml:space="preserve">Institution records are self-referencing to model the real-world complexity of financial services, where consumer-facing brands, legal entities, and back-end servicers are often different organizations.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Institution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Consumer-facing brand name (e.g. "Chime").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legal_entity_id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regulated legal entity behind this brand. Null if this record is the legal entity.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servicer_id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back-end processor that handles transactions. Null if institution self-services.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bank / credit_union / fintech / servicer / brokerage / crypto_exchange / self_custody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routing_number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 ACH routing number. Null for non-US or non-depository institutions.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swift_code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SWIFT/BIC code for international institutions.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fdx_certified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institution holds current FDX certification.</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3.4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that holds this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Institution-assigned account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display_balance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total value of all holdings denominated in display_unit.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in which balance is displayed. Typically USD.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date_opened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account was opened.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date_closed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account was closed. Null for open accounts.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checking / savings / credit_card / investment / mortgage / student_loan / escrow / crypto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AccountOwner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account being owned.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user who owns this account.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ownership_type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primary / joint / beneficiary / custodial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AccountHolding</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account holding this asset.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asset being held.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quantity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of the asset held.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acquired_date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holding was acquired. Used for cost basis and holding period.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Total amount paid for this holding. Used for tax calculations.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AccountHolding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3.5 Assets</w:t>
      </w:r>
    </w:p>
    <w:p>
      <w:pPr>
        <w:spacing w:after="80" w:before="80"/>
      </w:pPr>
      <w:r>
        <w:rPr>
          <w:rFonts w:ascii="Arial" w:cs="Arial" w:eastAsia="Arial" w:hAnsi="Arial"/>
          <w:sz w:val="22"/>
          <w:szCs w:val="22"/>
        </w:rPr>
        <w:t xml:space="preserve">All tradeable instruments — fiat currency, cryptocurrency, stocks, bonds, ETFs, and commodities — are represented as Asset records. This unified model allows account balances, transactions, and holdings to reference any instrument through a single field.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symbol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Ticker or currency code. e.g. USD, BTC, AAPL.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Full name. e.g. "US Dollar", "Bitcoin", "Apple Inc."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fiat / crypto / stock / bond / etf / commodity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decimals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 of decimal places. USD=2, BTC=8, some crypto=18.</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AssetPrice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asset being priced.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Price of one unit of the asset.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denominated_in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used to express the price. Usually USD.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price was recorded.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source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exchange / manual / feed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AssetPrice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3.6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Transaction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transaction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 the transaction occurred or posted.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time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Time of transaction. Null if not provided by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Short transaction name as provided by institution.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Full transaction 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vendor_id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Resolved vendor record. Null if not matched.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transferred in this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transferred in units of asset_id.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converted to account's display_unit. Computed.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debit_credit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debit / credit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pending / posted / reversed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Network or service fee. Null if no fee.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fee_asset_id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the fee is denominated in. May differ from transaction asset.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is_transfer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transaction is a transfer between owned accounts.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transfer_account_id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Destination or source account for transfers.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is_itemized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TransactionItem records exist for this transaction.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Category assignment. Ignored if is_itemized is true.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derived_category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Computed from items if itemized, otherwise equals category_id. Read-only.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is_refund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transaction is a refund.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is_disputed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transaction is under dispute.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dispute_begin_date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dispute was opened.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opened / under_review / resolved / denied. Null if not disputed.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dispute_resolved_date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dispute was resolved.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recurring_cost_id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RecurringCost.id?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Links to recurring cost pattern if applicable.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Transaction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TransactionItem</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Item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qty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Quantity purchased.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qty_units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Unit of measure. e.g. "lbs", "oz", "each". Null for unitless items.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price_per_unit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Price per unit of qty_units.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amount for this line item. Stored explicitly — may differ from qty * price_per_unit due to rounding or discounts.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sku</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Stock keeping unit. Null if vendor does not provide.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Category for this specific item.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TransactionItem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3.7 Vendors</w:t>
      </w:r>
    </w:p>
    <w:p>
      <w:pPr>
        <w:spacing w:after="80" w:before="80"/>
      </w:pPr>
      <w:r>
        <w:rPr>
          <w:rFonts w:ascii="Arial" w:cs="Arial" w:eastAsia="Arial" w:hAnsi="Arial"/>
          <w:sz w:val="22"/>
          <w:szCs w:val="22"/>
        </w:rPr>
        <w:t xml:space="preserve">Each physical merchant location is a separate Vendor record, matching how payment processors register merchants via MID. Online merchants have a single record. The self-referencing parent_vendor_id enables chain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Vendor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parent_vendor_id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chain or brand record. Null for parent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Normalized name. e.g. "Walmart" not "WAL-MART #4821".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Consumer-friendly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Business 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mcc</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Merchant Category Code (4 digits). Maps to category taxonomy.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Category derived from MCC.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address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Street address. Null for online-only vendors.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State or province.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postal_code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Postal or ZIP code.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country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ISO 3166-1 alpha-2 country code.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Contact phone number.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Website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logo_url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of vendor logo image.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is_online_only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vendor operates without physical locations.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3.8 Categories</w:t>
      </w:r>
    </w:p>
    <w:p>
      <w:pPr>
        <w:spacing w:after="80" w:before="80"/>
      </w:pPr>
      <w:r>
        <w:rPr>
          <w:rFonts w:ascii="Arial" w:cs="Arial" w:eastAsia="Arial" w:hAnsi="Arial"/>
          <w:sz w:val="22"/>
          <w:szCs w:val="22"/>
        </w:rPr>
        <w:t xml:space="preserve">A hierarchical taxonomy for classifying transactions and items. Standard categories are defined by the protocol. Users may apply custom labels without affecting interoperability.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standard_category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Protocol-defined category value. Enforced across all implementations.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custom_label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User-defined display name. Overrides standard_category in the UI 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parent_category_id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category for hierarchical taxonomy. Null for top-level categories.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3.9 Balance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BalanceSnapshot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snapshot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balance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Balance value in display_unit.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in which balance is denominated.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balance was recorded.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snapshot_type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transaction / scheduled / end_of_day / statement / manual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Associated transaction if snapshot_type is transaction.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is_verified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balance was confirmed by the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BalanceSnapshot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3.10 Interest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InterestRate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rate applies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percentage rate.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rate_type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fixed / variable / promotional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compounding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daily / monthly / annual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effective_date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rate took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rate expires. Null for ongoing rates.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applied_to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balance / purchases / cash_advances / transfers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InterestRate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3.11 Recurring Costs</w:t>
      </w:r>
    </w:p>
    <w:p>
      <w:pPr>
        <w:spacing w:after="80" w:before="80"/>
      </w:pPr>
      <w:r>
        <w:rPr>
          <w:rFonts w:ascii="Arial" w:cs="Arial" w:eastAsia="Arial" w:hAnsi="Arial"/>
          <w:sz w:val="22"/>
          <w:szCs w:val="22"/>
        </w:rPr>
        <w:t xml:space="preserve">RecurringCost defines expected future payment patterns. Individual payments link back to their RecurringCost via Transaction.recurring_cost_id, enabling detection of missed or late payments.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RecurringCost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cost is charged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cost_type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subscription / insurance / tax / utility / loan_payment / hoa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Descriptive name for this 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vendor_id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Associated vendor if applicable.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expected_amount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Expected payment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the cost is denominated in.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frequency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weekly / monthly / quarterly / 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next_due_date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Next expected payment date.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last_paid_date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Most recent payment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is_escrow_paid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cost is paid through escrow.</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recurring cost is currently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RecurringCost records extend ProvenanceBase.</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4. Federation Model</w:t>
      </w:r>
    </w:p>
    <w:p>
      <w:pPr>
        <w:spacing w:after="80" w:before="80"/>
      </w:pPr>
      <w:r>
        <w:rPr>
          <w:rFonts w:ascii="Arial" w:cs="Arial" w:eastAsia="Arial" w:hAnsi="Arial"/>
          <w:sz w:val="22"/>
          <w:szCs w:val="22"/>
        </w:rPr>
        <w:t xml:space="preserve">OFDP is a federated protocol. Any individual or institution may run an OFDP instance. Instances discover each other through the OFDP Registry, establish trust through certificates and ConnectionRequests, and exchange data through a pull-based sync mechanism.</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4.1 Protocol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ProtocolInstance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owner_user_id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who owns and administers this instance.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environment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production / sandbox — sandbox mode masks all sensitive fields regardless of permissions.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created_date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instance was created.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4.2 Registry</w:t>
      </w:r>
    </w:p>
    <w:p>
      <w:pPr>
        <w:spacing w:after="80" w:before="80"/>
      </w:pPr>
      <w:r>
        <w:rPr>
          <w:rFonts w:ascii="Arial" w:cs="Arial" w:eastAsia="Arial" w:hAnsi="Arial"/>
          <w:sz w:val="22"/>
          <w:szCs w:val="22"/>
        </w:rPr>
        <w:t xml:space="preserve">The OFDP Registry is the authoritative directory of institutions participating in the protocol. It is maintained by the OFDP foundation as a single append-only, hash-chained ledger. The hash-chain design ensures tamper-evidence and supports migration to a distributed consensus model in a future protocol version without changing the data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20"/>
              <w:left w:type="dxa" w:w="200"/>
              <w:bottom w:type="dxa" w:w="120"/>
              <w:right w:type="dxa" w:w="200"/>
            </w:tcMar>
          </w:tcPr>
          <w:p>
            <w:pPr>
              <w:spacing w:after="60" w:before="0"/>
            </w:pPr>
            <w:r>
              <w:rPr>
                <w:rFonts w:ascii="Arial" w:cs="Arial" w:eastAsia="Arial" w:hAnsi="Arial"/>
                <w:b/>
                <w:bCs/>
                <w:color w:val="1E7A3C"/>
                <w:sz w:val="22"/>
                <w:szCs w:val="22"/>
              </w:rPr>
              <w:t xml:space="preserve">Append-Only Design</w:t>
            </w:r>
          </w:p>
          <w:p>
            <w:pPr>
              <w:spacing w:after="0" w:before="0"/>
            </w:pPr>
            <w:r>
              <w:rPr>
                <w:rFonts w:ascii="Arial" w:cs="Arial" w:eastAsia="Arial" w:hAnsi="Arial"/>
                <w:color w:val="444444"/>
                <w:sz w:val="20"/>
                <w:szCs w:val="20"/>
              </w:rPr>
              <w:t xml:space="preserve">The registry never deletes or modifies records. Every change — registration, endpoint update, suspension, reinstatement — creates a new RegistryEntry. Each entry includes a cryptographic hash of the previous entry. Any tampering with historical records is detectable by any instance that validates the chain.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RegistryGenesis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created_date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registry was initialized.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version at genesis.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foundation_public_key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foundation public key for verifying registry signatures.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genesis_hash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Hash of the initial registry state. All subsequent entries chain to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RegistryEntry</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sequence_number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Monotonically increasing. Gaps indicate tampering.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previous_hash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Hash of the previous RegistryEntry. Null for entry 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entry_hash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Hash of this entry's contents.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entry_type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registration / update / suspension / reinstatement / revocation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this entry pertains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endpoint_url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of institution's OFDP API endpoint.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Institution's current public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Highest OFDP version this endpoint supports.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supported_extensions[]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Optional extension modules implemented by this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active / suspended / deprecated /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submitted_by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who submitted this entry.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submitted_date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entry was submitted.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effective_date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entry takes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signature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Cryptographic signature by submitting institution proving key ownership.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RegistryEntry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RegistryIndex</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registry_entry_id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RegistryEntry.id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registry entry this index record reflects.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Searchable institution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routing_number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For US bank lookup.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swift_code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For international lookup.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type for filtering.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country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ISO country code.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fdx_certified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Current FDX certification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last_indexed_date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index record was last updated.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4.3 Sync</w:t>
      </w:r>
    </w:p>
    <w:p>
      <w:pPr>
        <w:spacing w:after="80" w:before="80"/>
      </w:pPr>
      <w:r>
        <w:rPr>
          <w:rFonts w:ascii="Arial" w:cs="Arial" w:eastAsia="Arial" w:hAnsi="Arial"/>
          <w:sz w:val="22"/>
          <w:szCs w:val="22"/>
        </w:rPr>
        <w:t xml:space="preserve">Consumer instances pull data from institutional instances. Institutions never push data to consumer instances without an explicit request. Sync state is tracked per account per resource type using cursors, enabling incremental updates without re-fetching historical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SyncJob</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running this job.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being synced.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connection_request_id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ConnectionRequest.id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Authorization for this sync.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running / completed / failed / partial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triggered_by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scheduled / manual / webhook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started_date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job started.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completed_date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job finished. Null if still running.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records_requested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many records were requested.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records_received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How many records were received.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records_rejected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many records were rejected due to validation or conflict.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error_message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Error details if status is failed.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SyncJob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SyncCursor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this cursor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this cursor tracks.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cursor tracks. Null for instance-level cursors.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transaction / balance / interest_rate / holding / recurring_cost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last_sync_date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last successful sync completed.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last_sync_id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Institution's identifier for the last record received.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next_page_token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Pagination token for resuming interrupted syncs.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SyncConflict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sync_job_id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SyncJob.id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sync job that produced this conflict.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Resource type where conflict was detected.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local_record_id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ID of the existing local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incoming_data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json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Snapshot of the conflicting incoming data.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conflict_type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amount_mismatch / date_mismatch / missing_local / missing_remote / status_change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local_source_rank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Provenance rank of local record (1-12).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incoming_source_rank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Provenance rank of incoming record (1-12).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resolution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accepted_remote / kept_local / merged / escalated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resolution_rule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rule_1 / rule_2 / rule_3 — which conflict rule applied.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system / user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resolver_user_id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If resolved by user, which user.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conflict was resolved.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SyncConflict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WebhookSubscription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receiving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sending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connection_request_id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ConnectionRequest.id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Authorization for this subscription.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endpoint_url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the institution sends notifications to.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event_types[]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new_transaction / balance_change / status_change / rate_change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secret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Shared secret for verifying webhook authenticity.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subscription is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Webhooks are an optional extension. Institutions are not required to implement them.</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5. API Specification</w:t>
      </w:r>
    </w:p>
    <w:p>
      <w:pPr>
        <w:spacing w:after="80" w:before="80"/>
      </w:pPr>
      <w:r>
        <w:rPr>
          <w:rFonts w:ascii="Arial" w:cs="Arial" w:eastAsia="Arial" w:hAnsi="Arial"/>
          <w:sz w:val="22"/>
          <w:szCs w:val="22"/>
        </w:rPr>
        <w:t xml:space="preserve">Every compliant OFDP implementation must expose the endpoints defined in this section. Optional extension endpoints are clearly marked. The core protocol uses REST with JSON. GraphQL is available as an optional extension for advanced consumers and AI interfaces.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0"/>
            </w:pPr>
            <w:r>
              <w:rPr>
                <w:rFonts w:ascii="Arial" w:cs="Arial" w:eastAsia="Arial" w:hAnsi="Arial"/>
                <w:b/>
                <w:bCs/>
                <w:color w:val="1B4F8A"/>
                <w:sz w:val="22"/>
                <w:szCs w:val="22"/>
              </w:rPr>
              <w:t xml:space="preserve">Protocol-Wide Requirements</w:t>
            </w:r>
          </w:p>
          <w:p>
            <w:pPr>
              <w:spacing w:after="0" w:before="0"/>
            </w:pPr>
            <w:r>
              <w:rPr>
                <w:rFonts w:ascii="Arial" w:cs="Arial" w:eastAsia="Arial" w:hAnsi="Arial"/>
                <w:color w:val="444444"/>
                <w:sz w:val="20"/>
                <w:szCs w:val="20"/>
              </w:rPr>
              <w:t xml:space="preserve">Every request must include Protocol-Version in headers. Every response must include provenance metadata and a cryptographic signature from the responding institution. Institutions may support multiple protocol versions simultaneously during transition periods.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Required request headers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Protocol-Version: 1.0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Authorization: Bearer &lt;session_token&gt;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Required response headers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X-Provenance-Source: institution_api</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X-Provenance-Verified: true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X-Retrieval-Timestamp: 2026-05-20T14:23:00Z</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X-Protocol-Signature: &lt;cryptographic_signature&gt;</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5.1 Registry Endpoints</w:t>
      </w:r>
    </w:p>
    <w:p>
      <w:pPr>
        <w:spacing w:after="80" w:before="80"/>
      </w:pPr>
      <w:r>
        <w:rPr>
          <w:rFonts w:ascii="Arial" w:cs="Arial" w:eastAsia="Arial" w:hAnsi="Arial"/>
          <w:sz w:val="22"/>
          <w:szCs w:val="22"/>
        </w:rPr>
        <w:t xml:space="preserve">Hosted by the OFDP foundation. Consumer instances use these to discover institutions.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Search institutions. Query params: name, routing_number, swift_code, type, country.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full details for a single institution.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/registry/institutions/:id/verify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Validate hash chain for this institution's registry records.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Submit a registration request. Body: endpoint, public_key, signature.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/registry/validate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Validate full hash chain from genesis to latest entry.</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5.2 Authentication Endpoints</w:t>
      </w:r>
    </w:p>
    <w:p>
      <w:pPr>
        <w:spacing w:after="80" w:before="80"/>
      </w:pPr>
      <w:r>
        <w:rPr>
          <w:rFonts w:ascii="Arial" w:cs="Arial" w:eastAsia="Arial" w:hAnsi="Arial"/>
          <w:sz w:val="22"/>
          <w:szCs w:val="22"/>
        </w:rPr>
        <w:t xml:space="preserve">Hosted by each institutional instance. Consumer instances call these to establish a trusted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/auth/certificate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Returns institution's current certificate and public key.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Submit a ConnectionRequest with certificate_id and requested_permissions.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Check status of a pending ConnectionRequest.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8B0000"/>
                <w:sz w:val="18"/>
                <w:szCs w:val="18"/>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Revoke an existing connection.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/auth/token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Exchange certificate signature for a short-lived session token.</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5.3 Data Endpoints</w:t>
      </w:r>
    </w:p>
    <w:p>
      <w:pPr>
        <w:spacing w:after="80" w:before="80"/>
      </w:pPr>
      <w:r>
        <w:rPr>
          <w:rFonts w:ascii="Arial" w:cs="Arial" w:eastAsia="Arial" w:hAnsi="Arial"/>
          <w:sz w:val="22"/>
          <w:szCs w:val="22"/>
        </w:rPr>
        <w:t xml:space="preserve">Core data endpoints — required for all compliant implementations.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accounts the consumer is authorized to access.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a single account with applicable type extension.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/accounts/:id/balances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balance history. Query params: from_date, to_date, snapshot_type.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/accounts/:id/transactions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transactions. Query params: from_date, to_date, status, cursor, limit.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/accounts/:id/transactions/:id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 single transaction with TransactionItems if itemized.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/accounts/:id/interest_rates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interest rate history. Query params: effective_date.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/accounts/:id/holdings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asset holdings with InvestmentHolding extension if applicable.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/accounts/:id/recurring_costs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recurring cost patterns for this account.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/vendors/:id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 single vendor record.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/vendors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Search vendors. Query params: name, mcc, city, state.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/categories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full category taxonomy tree.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/assets/:id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a single asset record.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/assets/:id/prices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price history. Query params: from_date, to_date, denominated_in.</w:t>
            </w:r>
          </w:p>
        </w:tc>
      </w:tr>
    </w:tbl>
    <w:p>
      <w:pPr>
        <w:spacing w:after="0" w:before="120"/>
      </w:pPr>
      <w:r>
        <w:t xml:space="preserve"/>
      </w:r>
    </w:p>
    <w:p>
      <w:pPr>
        <w:spacing w:after="80" w:before="80"/>
      </w:pPr>
      <w:r>
        <w:rPr>
          <w:rFonts w:ascii="Arial" w:cs="Arial" w:eastAsia="Arial" w:hAnsi="Arial"/>
          <w:sz w:val="22"/>
          <w:szCs w:val="22"/>
        </w:rPr>
        <w:t xml:space="preserve">Extension endpoints — required only for institutions supporting the applicable account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/accounts/:id/amortization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Amortization schedule. Mortgage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/accounts/:id/disbursements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Loan disbursements. Student loan accounts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/accounts/:id/repayment_agreements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Repayment plan history. Student loan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/accounts/:id/staking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Staking positions and rewards. Crypto accounts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/accounts/:id/realized_gains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Realized gain/loss records. Investment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/accounts/:id/trading_restrictions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Active trading restrictions. Investment accounts only.</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5.4 Sync Endpoints</w:t>
      </w:r>
    </w:p>
    <w:p>
      <w:pPr>
        <w:spacing w:after="80" w:before="80"/>
      </w:pPr>
      <w:r>
        <w:rPr>
          <w:rFonts w:ascii="Arial" w:cs="Arial" w:eastAsia="Arial" w:hAnsi="Arial"/>
          <w:sz w:val="22"/>
          <w:szCs w:val="22"/>
        </w:rPr>
        <w:t xml:space="preserve">Hosted on the consumer's own instance. These manage sync state and conflict resolution.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Initiate a sync job. Body: SyncRequest with institution_id, resources, cursors.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status and progress of a sync job.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sync job history. Query params: institution_id, status, from_date.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/sync/cursors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sync state. Query params: institution_id, account_id, resource.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/sync/conflicts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conflicts. Query params: sync_job_id, resolution, resource.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B8860B"/>
                <w:sz w:val="18"/>
                <w:szCs w:val="18"/>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/sync/conflicts/:id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Resolve a conflict. Body: resolution decision.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/sync/webhooks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Subscribe to webhook notifications. Optional — institution must support.</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6. Account Type Extensions</w:t>
      </w:r>
    </w:p>
    <w:p>
      <w:pPr>
        <w:spacing w:after="80" w:before="80"/>
      </w:pPr>
      <w:r>
        <w:rPr>
          <w:rFonts w:ascii="Arial" w:cs="Arial" w:eastAsia="Arial" w:hAnsi="Arial"/>
          <w:sz w:val="22"/>
          <w:szCs w:val="22"/>
        </w:rPr>
        <w:t xml:space="preserve">Each extension is a separate schema that references the base Account record. Institutions implement only the extensions applicable to their account types. No institution is penalized for not implementing an extension.</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6.1 Credit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CreditCardAccount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credit_limit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Maximum credit available.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payment_due_day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Day of month payment is due.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minimum_payment_type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fixed / percentage / greater_of</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minimum_payment_value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or percentage depending on minimum_payment_type.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grace_period_days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Days after statement close before interest accrues.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6.2 Mortgage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MortgageAccount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Address of the secured property.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property_value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Estimated or appraised property value. Null until assessed.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property_value_date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 of most recent valuation.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original_loan_amount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Principal at origination.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escrow_account_id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Linked escrow account for taxes and insurance.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equity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property_value minus current balance. Read-only.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interest_rate_type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fixed / variable / hybrid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rate_adjustment_cap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Maximum rate change per adjustment period. Variable and hybrid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rate_adjustment_period_months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often the rate adjusts. Variable and hybrid 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AmortizationSchedule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Mortgage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Sequential payment number.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Scheduled payment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payment amount.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principal_portion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Portion applied to principal.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interest_portion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Portion applied to interest.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remaining_balance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Principal balance after this payment.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6.3 Student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StudentLoanAccount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is_federal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is a federal loan.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guarantor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Loan guarantor or servicer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loan_program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direct_subsidized / direct_unsubsidized / plus / perkins / private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repayment_plan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standard / graduated / extended / income_driven / deferment / forbearance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income_driven_plan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save / paye / ibr / icr. Null if not income-driven.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Current payment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payment_due_day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 of month payment is due.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forgiveness_eligible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account is enrolled in a forgiveness program.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forgiveness_program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Program name. e.g. "PSLF".</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forgiveness_payments_made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Qualifying payments completed toward forgiveness.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forgiveness_payments_required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qualifying payments required.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origination_date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loan originated.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StudentLoanDisbursement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student_loan_account_id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StudentLoanAccount.id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student loan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disbursement_date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disbursement was made.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original_amount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disbursed.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current_balance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Remaining balance on this disbursement.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interest_rate_id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InterestRate.id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Interest rate for this specific disbursement.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subsidized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the government pays interest while borrower is in school.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loan_type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subsidized / unsubsidized / plus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6.4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InvestmentAccount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account_subtype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brokerage / ira / roth_ira / 401k / 403b / sep_ira / 529 / hsa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tax_advantaged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account has tax-advantaged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contribution_limit_annual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contribution limit. Null for non-tax-advantaged accounts.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contributions_ytd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Year-to-date contributions.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beneficiary_user_id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Beneficiary for accounts like 529.</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cost_basis_method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fifo / lifo / specific_identification / average_cost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InvestmentHolding</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account_holding_id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AccountHolding.id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holding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acquisition_date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lot was acquired.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Total cost of this lot.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cost_basis_per_unit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Cost per unit for this lot.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short_term / long_term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 when long_term status is or was achieved.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Lot identifier for specific identification cost basis method.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RealizedGainLoss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Investment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that was sold.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sale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acquisition_date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sold lot was acquired.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disposition_date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asset was sold.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quantity_sold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 of units sold.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Original cost of the sold lot.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proceeds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received from the sale.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gain_loss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proceeds minus cost_basis. Read-only.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short_term / long_term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wash_sale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IRS wash sale rule applies to this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wash_sale_disallowed_amount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of loss disallowed by wash sale rule.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6.5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CryptoAccount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wallet_address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Public key — blockchain identifier for this wallet.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blockchain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bitcoin / ethereum / solana / polygon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wallet_type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self_custody / exchange_custody / multisig / smart_contract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derivation_path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HD wallet derivation path for wallets that generate multiple addresses.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BlockchainNetwork</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Network name. e.g. "Ethereum Mainnet".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symbol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Native token symbol.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chain_id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Numeric chain ID for EVM-compatible networks.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explorer_url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Block explorer URL for transaction lookup.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is_testnet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is a test network.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StakingPosition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Crypto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being staked.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staked_amount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currently staked.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staking_start_date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staking began.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unstaking_date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staking ended. Null if still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reward_rate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percentage yield.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reward_asset_id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rewards are paid in. Usually same as staked asset.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validator_address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Validator node address for proof-of-stake networks.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Staking protocol name. e.g. "Lido", "Coinbase".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7. Optional Extension Modules</w:t>
      </w:r>
    </w:p>
    <w:p>
      <w:pPr>
        <w:spacing w:after="80" w:before="80"/>
      </w:pPr>
      <w:r>
        <w:rPr>
          <w:rFonts w:ascii="Arial" w:cs="Arial" w:eastAsia="Arial" w:hAnsi="Arial"/>
          <w:sz w:val="22"/>
          <w:szCs w:val="22"/>
        </w:rPr>
        <w:t xml:space="preserve">The following modules are outside the core protocol. Institutions are not required to implement them. Consumer instances may implement them independently of institutional support.</w:t>
      </w:r>
    </w:p>
    <w:p>
      <w:pPr>
        <w:spacing w:after="0" w:before="120"/>
      </w:pPr>
      <w:r>
        <w:t xml:space="preserve"/>
      </w:r>
    </w:p>
    <w:p>
      <w:pPr>
        <w:pStyle w:val="Heading2"/>
        <w:spacing w:after="160" w:before="320"/>
      </w:pPr>
      <w:r>
        <w:rPr>
          <w:rFonts w:ascii="Arial" w:cs="Arial" w:eastAsia="Arial" w:hAnsi="Arial"/>
          <w:b/>
          <w:bCs/>
          <w:color w:val="2E75B6"/>
          <w:sz w:val="26"/>
          <w:szCs w:val="26"/>
        </w:rPr>
        <w:t xml:space="preserve">7.1 Rewards</w:t>
      </w:r>
    </w:p>
    <w:p>
      <w:pPr>
        <w:spacing w:after="80" w:before="80"/>
      </w:pPr>
      <w:r>
        <w:rPr>
          <w:rFonts w:ascii="Arial" w:cs="Arial" w:eastAsia="Arial" w:hAnsi="Arial"/>
          <w:sz w:val="22"/>
          <w:szCs w:val="22"/>
        </w:rPr>
        <w:t xml:space="preserve">Credit card and loyalty reward programs. Not included in core due to the wide variation in program structures across issuers and the commercial sensitivity of reward valuations. Managed as a community-maintained module.</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7.2 NFTs</w:t>
      </w:r>
    </w:p>
    <w:p>
      <w:pPr>
        <w:spacing w:after="80" w:before="80"/>
      </w:pPr>
      <w:r>
        <w:rPr>
          <w:rFonts w:ascii="Arial" w:cs="Arial" w:eastAsia="Arial" w:hAnsi="Arial"/>
          <w:sz w:val="22"/>
          <w:szCs w:val="22"/>
        </w:rPr>
        <w:t xml:space="preserve">Non-fungible token holdings. Excluded from core because NFTs are non-fungible — one token is not interchangeable with another — which breaks the fungibility assumption of the core Asset schema. NFT extension defines a separate asset model for unique digital assets.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7.3 DeFi Positions</w:t>
      </w:r>
    </w:p>
    <w:p>
      <w:pPr>
        <w:spacing w:after="80" w:before="80"/>
      </w:pPr>
      <w:r>
        <w:rPr>
          <w:rFonts w:ascii="Arial" w:cs="Arial" w:eastAsia="Arial" w:hAnsi="Arial"/>
          <w:sz w:val="22"/>
          <w:szCs w:val="22"/>
        </w:rPr>
        <w:t xml:space="preserve">Decentralized finance positions including liquidity pools, lending protocols, and yield farming. Excluded from core because DeFi positions often represent two assets in a variable ratio, which requires a more complex holding model than the core AccountHolding schema supports.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7.4 GraphQL Interface</w:t>
      </w:r>
    </w:p>
    <w:p>
      <w:pPr>
        <w:spacing w:after="80" w:before="80"/>
      </w:pPr>
      <w:r>
        <w:rPr>
          <w:rFonts w:ascii="Arial" w:cs="Arial" w:eastAsia="Arial" w:hAnsi="Arial"/>
          <w:sz w:val="22"/>
          <w:szCs w:val="22"/>
        </w:rPr>
        <w:t xml:space="preserve">An optional GraphQL API layer for advanced consumers and AI agents. Provides flexible field selection and single-request access to complex nested data. Institutions are not required to implement GraphQL — the REST API defined in Section 5 is the required interface.</w:t>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8. Security Requirements</w:t>
      </w:r>
    </w:p>
    <w:p>
      <w:pPr>
        <w:spacing w:after="80" w:before="80"/>
      </w:pPr>
      <w:r>
        <w:rPr>
          <w:rFonts w:ascii="Arial" w:cs="Arial" w:eastAsia="Arial" w:hAnsi="Arial"/>
          <w:sz w:val="22"/>
          <w:szCs w:val="22"/>
        </w:rPr>
        <w:t xml:space="preserve">OFDP handles highly sensitive financial data. The following security requirements are mandatory for all compliant implementations.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8.1 Transport</w:t>
      </w:r>
    </w:p>
    <w:p>
      <w:pPr>
        <w:pStyle w:val="ListParagraph"/>
        <w:numPr>
          <w:ilvl w:val="0"/>
          <w:numId w:val="2"/>
        </w:numPr>
        <w:spacing w:after="60" w:before="60"/>
      </w:pPr>
      <w:r>
        <w:rPr>
          <w:rFonts w:ascii="Arial" w:cs="Arial" w:eastAsia="Arial" w:hAnsi="Arial"/>
          <w:sz w:val="22"/>
          <w:szCs w:val="22"/>
        </w:rPr>
        <w:t xml:space="preserve">All communication must use TLS 1.3 or higher.</w:t>
      </w:r>
    </w:p>
    <w:p>
      <w:pPr>
        <w:pStyle w:val="ListParagraph"/>
        <w:numPr>
          <w:ilvl w:val="0"/>
          <w:numId w:val="2"/>
        </w:numPr>
        <w:spacing w:after="60" w:before="60"/>
      </w:pPr>
      <w:r>
        <w:rPr>
          <w:rFonts w:ascii="Arial" w:cs="Arial" w:eastAsia="Arial" w:hAnsi="Arial"/>
          <w:sz w:val="22"/>
          <w:szCs w:val="22"/>
        </w:rPr>
        <w:t xml:space="preserve">Mutual TLS (mTLS) is required for institution-to-institution communication.</w:t>
      </w:r>
    </w:p>
    <w:p>
      <w:pPr>
        <w:pStyle w:val="ListParagraph"/>
        <w:numPr>
          <w:ilvl w:val="0"/>
          <w:numId w:val="2"/>
        </w:numPr>
        <w:spacing w:after="60" w:before="60"/>
      </w:pPr>
      <w:r>
        <w:rPr>
          <w:rFonts w:ascii="Arial" w:cs="Arial" w:eastAsia="Arial" w:hAnsi="Arial"/>
          <w:sz w:val="22"/>
          <w:szCs w:val="22"/>
        </w:rPr>
        <w:t xml:space="preserve">Certificate pinning is recommended for consumer applications connecting to known institutional endpoints.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8.2 Authentication</w:t>
      </w:r>
    </w:p>
    <w:p>
      <w:pPr>
        <w:pStyle w:val="ListParagraph"/>
        <w:numPr>
          <w:ilvl w:val="0"/>
          <w:numId w:val="2"/>
        </w:numPr>
        <w:spacing w:after="60" w:before="60"/>
      </w:pPr>
      <w:r>
        <w:rPr>
          <w:rFonts w:ascii="Arial" w:cs="Arial" w:eastAsia="Arial" w:hAnsi="Arial"/>
          <w:sz w:val="22"/>
          <w:szCs w:val="22"/>
        </w:rPr>
        <w:t xml:space="preserve">OAuth 2.0 with PKCE is the required authorization flow for consumer authentication.</w:t>
      </w:r>
    </w:p>
    <w:p>
      <w:pPr>
        <w:pStyle w:val="ListParagraph"/>
        <w:numPr>
          <w:ilvl w:val="0"/>
          <w:numId w:val="2"/>
        </w:numPr>
        <w:spacing w:after="60" w:before="60"/>
      </w:pPr>
      <w:r>
        <w:rPr>
          <w:rFonts w:ascii="Arial" w:cs="Arial" w:eastAsia="Arial" w:hAnsi="Arial"/>
          <w:sz w:val="22"/>
          <w:szCs w:val="22"/>
        </w:rPr>
        <w:t xml:space="preserve">Session tokens must expire within 1 hour and support silent refresh.</w:t>
      </w:r>
    </w:p>
    <w:p>
      <w:pPr>
        <w:pStyle w:val="ListParagraph"/>
        <w:numPr>
          <w:ilvl w:val="0"/>
          <w:numId w:val="2"/>
        </w:numPr>
        <w:spacing w:after="60" w:before="60"/>
      </w:pPr>
      <w:r>
        <w:rPr>
          <w:rFonts w:ascii="Arial" w:cs="Arial" w:eastAsia="Arial" w:hAnsi="Arial"/>
          <w:sz w:val="22"/>
          <w:szCs w:val="22"/>
        </w:rPr>
        <w:t xml:space="preserve">All ConnectionRequests must be cryptographically signed by the requesting institution's private key.</w:t>
      </w:r>
    </w:p>
    <w:p>
      <w:pPr>
        <w:pStyle w:val="ListParagraph"/>
        <w:numPr>
          <w:ilvl w:val="0"/>
          <w:numId w:val="2"/>
        </w:numPr>
        <w:spacing w:after="60" w:before="60"/>
      </w:pPr>
      <w:r>
        <w:rPr>
          <w:rFonts w:ascii="Arial" w:cs="Arial" w:eastAsia="Arial" w:hAnsi="Arial"/>
          <w:sz w:val="22"/>
          <w:szCs w:val="22"/>
        </w:rPr>
        <w:t xml:space="preserve">All sync responses must be cryptographically signed by the responding institution's private key.</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8.3 Data at Rest</w:t>
      </w:r>
    </w:p>
    <w:p>
      <w:pPr>
        <w:pStyle w:val="ListParagraph"/>
        <w:numPr>
          <w:ilvl w:val="0"/>
          <w:numId w:val="2"/>
        </w:numPr>
        <w:spacing w:after="60" w:before="60"/>
      </w:pPr>
      <w:r>
        <w:rPr>
          <w:rFonts w:ascii="Arial" w:cs="Arial" w:eastAsia="Arial" w:hAnsi="Arial"/>
          <w:sz w:val="22"/>
          <w:szCs w:val="22"/>
        </w:rPr>
        <w:t xml:space="preserve">Account numbers, routing numbers, and wallet addresses must be encrypted at rest using AES-256 or equivalent.</w:t>
      </w:r>
    </w:p>
    <w:p>
      <w:pPr>
        <w:pStyle w:val="ListParagraph"/>
        <w:numPr>
          <w:ilvl w:val="0"/>
          <w:numId w:val="2"/>
        </w:numPr>
        <w:spacing w:after="60" w:before="60"/>
      </w:pPr>
      <w:r>
        <w:rPr>
          <w:rFonts w:ascii="Arial" w:cs="Arial" w:eastAsia="Arial" w:hAnsi="Arial"/>
          <w:sz w:val="22"/>
          <w:szCs w:val="22"/>
        </w:rPr>
        <w:t xml:space="preserve">Encryption keys must not be stored in the same location as encrypted data.</w:t>
      </w:r>
    </w:p>
    <w:p>
      <w:pPr>
        <w:pStyle w:val="ListParagraph"/>
        <w:numPr>
          <w:ilvl w:val="0"/>
          <w:numId w:val="2"/>
        </w:numPr>
        <w:spacing w:after="60" w:before="60"/>
      </w:pPr>
      <w:r>
        <w:rPr>
          <w:rFonts w:ascii="Arial" w:cs="Arial" w:eastAsia="Arial" w:hAnsi="Arial"/>
          <w:sz w:val="22"/>
          <w:szCs w:val="22"/>
        </w:rPr>
        <w:t xml:space="preserve">Self-hosted instances are responsible for their own encryption key management.</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8.4 Sandbox Mode</w:t>
      </w:r>
    </w:p>
    <w:p>
      <w:pPr>
        <w:pStyle w:val="ListParagraph"/>
        <w:numPr>
          <w:ilvl w:val="0"/>
          <w:numId w:val="2"/>
        </w:numPr>
        <w:spacing w:after="60" w:before="60"/>
      </w:pPr>
      <w:r>
        <w:rPr>
          <w:rFonts w:ascii="Arial" w:cs="Arial" w:eastAsia="Arial" w:hAnsi="Arial"/>
          <w:sz w:val="22"/>
          <w:szCs w:val="22"/>
        </w:rPr>
        <w:t xml:space="preserve">In sandbox mode, all sensitive fields are automatically masked regardless of permissions.</w:t>
      </w:r>
    </w:p>
    <w:p>
      <w:pPr>
        <w:pStyle w:val="ListParagraph"/>
        <w:numPr>
          <w:ilvl w:val="0"/>
          <w:numId w:val="2"/>
        </w:numPr>
        <w:spacing w:after="60" w:before="60"/>
      </w:pPr>
      <w:r>
        <w:rPr>
          <w:rFonts w:ascii="Arial" w:cs="Arial" w:eastAsia="Arial" w:hAnsi="Arial"/>
          <w:sz w:val="22"/>
          <w:szCs w:val="22"/>
        </w:rPr>
        <w:t xml:space="preserve">Sensitive fields include: account_number, routing_number, wallet_address, public_key, and all personally identifiable information.</w:t>
      </w:r>
    </w:p>
    <w:p>
      <w:pPr>
        <w:pStyle w:val="ListParagraph"/>
        <w:numPr>
          <w:ilvl w:val="0"/>
          <w:numId w:val="2"/>
        </w:numPr>
        <w:spacing w:after="60" w:before="60"/>
      </w:pPr>
      <w:r>
        <w:rPr>
          <w:rFonts w:ascii="Arial" w:cs="Arial" w:eastAsia="Arial" w:hAnsi="Arial"/>
          <w:sz w:val="22"/>
          <w:szCs w:val="22"/>
        </w:rPr>
        <w:t xml:space="preserve">Sandbox instances must not contain real financial data.</w:t>
      </w:r>
    </w:p>
    <w:p>
      <w:pPr>
        <w:pStyle w:val="ListParagraph"/>
        <w:numPr>
          <w:ilvl w:val="0"/>
          <w:numId w:val="2"/>
        </w:numPr>
        <w:spacing w:after="60" w:before="60"/>
      </w:pPr>
      <w:r>
        <w:rPr>
          <w:rFonts w:ascii="Arial" w:cs="Arial" w:eastAsia="Arial" w:hAnsi="Arial"/>
          <w:sz w:val="22"/>
          <w:szCs w:val="22"/>
        </w:rPr>
        <w:t xml:space="preserve">The environment field on ProtocolInstance must be explicitly set to production before real data is permitted.</w:t>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9. Roadmap</w:t>
      </w:r>
    </w:p>
    <w:p>
      <w:pPr>
        <w:spacing w:after="80" w:before="80"/>
      </w:pPr>
      <w:r>
        <w:rPr>
          <w:rFonts w:ascii="Arial" w:cs="Arial" w:eastAsia="Arial" w:hAnsi="Arial"/>
          <w:sz w:val="22"/>
          <w:szCs w:val="22"/>
        </w:rPr>
        <w:t xml:space="preserve">OFDP v0.1 is a draft specification intended to solicit feedback from financial institutions, credit unions, fintech developers, and consumer advocates. The following milestones are planned.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Current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Draft specification. Request for comment from institutions, developers, and consumer advocates.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v0.2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Reference implementation of core schema and REST API. Compliance test suite. First credit union pilot.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Registry launch. First institutional certifications. iOS and Android consumer reference apps.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v1.0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Stable specification. Production-ready reference implementation. FDX interoperability validated.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Distributed registry using internal consensus protocol. GraphQL extension. DeFi extension module.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20"/>
              <w:left w:type="dxa" w:w="200"/>
              <w:bottom w:type="dxa" w:w="120"/>
              <w:right w:type="dxa" w:w="200"/>
            </w:tcMar>
          </w:tcPr>
          <w:p>
            <w:pPr>
              <w:spacing w:after="60" w:before="0"/>
            </w:pPr>
            <w:r>
              <w:rPr>
                <w:rFonts w:ascii="Arial" w:cs="Arial" w:eastAsia="Arial" w:hAnsi="Arial"/>
                <w:b/>
                <w:bCs/>
                <w:color w:val="1E7A3C"/>
                <w:sz w:val="22"/>
                <w:szCs w:val="22"/>
              </w:rPr>
              <w:t xml:space="preserve">Contributing</w:t>
            </w:r>
          </w:p>
          <w:p>
            <w:pPr>
              <w:spacing w:after="0" w:before="0"/>
            </w:pPr>
            <w:r>
              <w:rPr>
                <w:rFonts w:ascii="Arial" w:cs="Arial" w:eastAsia="Arial" w:hAnsi="Arial"/>
                <w:color w:val="444444"/>
                <w:sz w:val="20"/>
                <w:szCs w:val="20"/>
              </w:rPr>
              <w:t xml:space="preserve">OFDP is being developed as an open specification. Feedback, corrections, and proposals for extension modules are welcome. The goal is a protocol that any credit union developer can implement in weeks, any consumer can self-host on modest hardware, and any AI agent can consume without transformation.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OFDP v0.1 Draft — Open Financial Data Protocol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2026-05-21T01:32:57.389Z</dcterms:created>
  <dcterms:modified xsi:type="dcterms:W3CDTF">2026-05-21T01:32:57.403Z</dcterms:modified>
</cp:coreProperties>
</file>

<file path=docProps/custom.xml><?xml version="1.0" encoding="utf-8"?>
<Properties xmlns="http://schemas.openxmlformats.org/officeDocument/2006/custom-properties" xmlns:vt="http://schemas.openxmlformats.org/officeDocument/2006/docPropsVTypes"/>
</file>