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1B4F8A"/>
          <w:sz w:val="56"/>
          <w:szCs w:val="56"/>
        </w:rPr>
        <w:t xml:space="preserve">OPEN FINANCIAL DATA PROTOCOL</w:t>
      </w:r>
    </w:p>
    <w:p>
      <w:pPr>
        <w:spacing w:after="80" w:before="0"/>
        <w:jc w:val="center"/>
      </w:pPr>
      <w:r>
        <w:rPr>
          <w:rFonts w:ascii="Arial" w:cs="Arial" w:eastAsia="Arial" w:hAnsi="Arial"/>
          <w:color w:val="2E75B6"/>
          <w:sz w:val="28"/>
          <w:szCs w:val="28"/>
        </w:rPr>
        <w:t xml:space="preserve">OFDP Specification v0.1 — Draft</w:t>
      </w:r>
    </w:p>
    <w:p>
      <w:pPr>
        <w:pBdr>
          <w:bottom w:val="single" w:color="2E75B6" w:sz="6" w:space="4"/>
        </w:pBdr>
        <w:spacing w:after="400" w:before="0"/>
        <w:jc w:val="center"/>
      </w:pPr>
      <w:r>
        <w:rPr>
          <w:rFonts w:ascii="Arial" w:cs="Arial" w:eastAsia="Arial" w:hAnsi="Arial"/>
          <w:i/>
          <w:iCs/>
          <w:color w:val="444444"/>
          <w:sz w:val="24"/>
          <w:szCs w:val="24"/>
        </w:rPr>
        <w:t xml:space="preserve">Consumer-Owned. Federated. AI-Native.</w:t>
      </w:r>
    </w:p>
    <w:p>
      <w:pPr>
        <w:spacing w:after="0" w:before="4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444444"/>
                <w:sz w:val="20"/>
                <w:szCs w:val="20"/>
              </w:rPr>
              <w:t xml:space="preserve">Status</w:t>
            </w:r>
          </w:p>
          <w:p>
            <w:r>
              <w:rPr>
                <w:rFonts w:ascii="Arial" w:cs="Arial" w:eastAsia="Arial" w:hAnsi="Arial"/>
                <w:sz w:val="20"/>
                <w:szCs w:val="20"/>
              </w:rPr>
              <w:t xml:space="preserve">Draft — Request for Comment</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444444"/>
                <w:sz w:val="20"/>
                <w:szCs w:val="20"/>
              </w:rPr>
              <w:t xml:space="preserve">Version</w:t>
            </w:r>
          </w:p>
          <w:p>
            <w:r>
              <w:rPr>
                <w:rFonts w:ascii="Arial" w:cs="Arial" w:eastAsia="Arial" w:hAnsi="Arial"/>
                <w:sz w:val="20"/>
                <w:szCs w:val="20"/>
              </w:rPr>
              <w:t xml:space="preserve">0.1.1</w:t>
            </w:r>
          </w:p>
        </w:tc>
      </w:tr>
      <w:tr>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444444"/>
                <w:sz w:val="20"/>
                <w:szCs w:val="20"/>
              </w:rPr>
              <w:t xml:space="preserve">Date</w:t>
            </w:r>
          </w:p>
          <w:p>
            <w:r>
              <w:rPr>
                <w:rFonts w:ascii="Arial" w:cs="Arial" w:eastAsia="Arial" w:hAnsi="Arial"/>
                <w:sz w:val="20"/>
                <w:szCs w:val="20"/>
              </w:rPr>
              <w:t xml:space="preserve">May 2026</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444444"/>
                <w:sz w:val="20"/>
                <w:szCs w:val="20"/>
              </w:rPr>
              <w:t xml:space="preserve">License</w:t>
            </w:r>
          </w:p>
          <w:p>
            <w:r>
              <w:rPr>
                <w:rFonts w:ascii="Arial" w:cs="Arial" w:eastAsia="Arial" w:hAnsi="Arial"/>
                <w:sz w:val="20"/>
                <w:szCs w:val="20"/>
              </w:rPr>
              <w:t xml:space="preserve">Open — To Be Determined</w:t>
            </w:r>
          </w:p>
        </w:tc>
      </w:tr>
    </w:tbl>
    <w:p>
      <w:r>
        <w:br w:type="page"/>
      </w:r>
    </w:p>
    <w:p>
      <w:pPr>
        <w:pStyle w:val="Heading1"/>
        <w:pBdr>
          <w:bottom w:val="single" w:color="2E75B6" w:sz="6" w:space="4"/>
        </w:pBdr>
        <w:spacing w:after="200" w:before="400"/>
      </w:pPr>
      <w:r>
        <w:rPr>
          <w:rFonts w:ascii="Arial" w:cs="Arial" w:eastAsia="Arial" w:hAnsi="Arial"/>
          <w:b/>
          <w:bCs/>
          <w:color w:val="1B4F8A"/>
          <w:sz w:val="32"/>
          <w:szCs w:val="32"/>
        </w:rPr>
        <w:t xml:space="preserve">1. Introduction</w:t>
      </w:r>
    </w:p>
    <w:p>
      <w:pPr>
        <w:spacing w:after="80" w:before="80"/>
      </w:pPr>
      <w:r>
        <w:rPr>
          <w:rFonts w:ascii="Arial" w:cs="Arial" w:eastAsia="Arial" w:hAnsi="Arial"/>
          <w:sz w:val="22"/>
          <w:szCs w:val="22"/>
        </w:rPr>
        <w:t xml:space="preserve">The Open Financial Data Protocol (OFDP) is a consumer-owned, federated, open standard for personal financial data. It defines how financial data is structured, stored, shared, and verified across institutions, applications, and AI systems.</w:t>
      </w:r>
    </w:p>
    <w:p>
      <w:pPr>
        <w:spacing w:after="0" w:before="80"/>
      </w:pPr>
      <w:r>
        <w:t xml:space="preserve"/>
      </w:r>
    </w:p>
    <w:p>
      <w:pPr>
        <w:spacing w:after="80" w:before="80"/>
      </w:pPr>
      <w:r>
        <w:rPr>
          <w:rFonts w:ascii="Arial" w:cs="Arial" w:eastAsia="Arial" w:hAnsi="Arial"/>
          <w:sz w:val="22"/>
          <w:szCs w:val="22"/>
        </w:rPr>
        <w:t xml:space="preserve">OFDP is not a payment system. It is a data layer — a ledger that normalizes financial information so that consumers, institutions, and AI agents can communicate using a shared language regardless of the underlying payment rail, institution type, or account format.</w:t>
      </w:r>
    </w:p>
    <w:p>
      <w:pPr>
        <w:spacing w:after="0" w:before="160"/>
      </w:pPr>
      <w:r>
        <w:t xml:space="preserve"/>
      </w:r>
    </w:p>
    <w:p>
      <w:pPr>
        <w:pStyle w:val="Heading2"/>
        <w:spacing w:after="160" w:before="320"/>
      </w:pPr>
      <w:r>
        <w:rPr>
          <w:rFonts w:ascii="Arial" w:cs="Arial" w:eastAsia="Arial" w:hAnsi="Arial"/>
          <w:b/>
          <w:bCs/>
          <w:color w:val="2E75B6"/>
          <w:sz w:val="26"/>
          <w:szCs w:val="26"/>
        </w:rPr>
        <w:t xml:space="preserve">1.1 Motivation</w:t>
      </w:r>
    </w:p>
    <w:p>
      <w:pPr>
        <w:spacing w:after="80" w:before="80"/>
      </w:pPr>
      <w:r>
        <w:rPr>
          <w:rFonts w:ascii="Arial" w:cs="Arial" w:eastAsia="Arial" w:hAnsi="Arial"/>
          <w:sz w:val="22"/>
          <w:szCs w:val="22"/>
        </w:rPr>
        <w:t xml:space="preserve">Consumer financial data is currently fragmented across hundreds of institutions, each with proprietary formats, limited export capabilities, and commercial incentives that do not align with consumer interests. Existing aggregation solutions — Plaid, MX, Finicity — operate as centralized intermediaries that charge institutions for access to consumer data the consumer generated.</w:t>
      </w:r>
    </w:p>
    <w:p>
      <w:pPr>
        <w:spacing w:after="0" w:before="80"/>
      </w:pPr>
      <w:r>
        <w:t xml:space="preserve"/>
      </w:r>
    </w:p>
    <w:p>
      <w:pPr>
        <w:spacing w:after="80" w:before="80"/>
      </w:pPr>
      <w:r>
        <w:rPr>
          <w:rFonts w:ascii="Arial" w:cs="Arial" w:eastAsia="Arial" w:hAnsi="Arial"/>
          <w:sz w:val="22"/>
          <w:szCs w:val="22"/>
        </w:rPr>
        <w:t xml:space="preserve">Regulatory momentum under Section 1033 of the Dodd-Frank Act and the CFPB's Personal Financial Data Rights rule mandates that institutions make consumer data available through standard APIs. The Financial Data Exchange (FDX) has been recognized as the standard-setting body for institutional data sharing. However, FDX is a B2B protocol — it defines how institutions talk to authorized third parties, not how consumers own and control their own data.</w:t>
      </w:r>
    </w:p>
    <w:p>
      <w:pPr>
        <w:spacing w:after="0" w:before="80"/>
      </w:pPr>
      <w:r>
        <w:t xml:space="preserve"/>
      </w:r>
    </w:p>
    <w:p>
      <w:pPr>
        <w:spacing w:after="80" w:before="80"/>
      </w:pPr>
      <w:r>
        <w:rPr>
          <w:rFonts w:ascii="Arial" w:cs="Arial" w:eastAsia="Arial" w:hAnsi="Arial"/>
          <w:sz w:val="22"/>
          <w:szCs w:val="22"/>
        </w:rPr>
        <w:t xml:space="preserve">OFDP fills the gap between institutional data infrastructure and consumer data sovereignty. It is designed to interface with FDX and ISO 20022 on the institutional side while providing consumers with a self-hostable, AI-native data layer they fully control.</w:t>
      </w:r>
    </w:p>
    <w:p>
      <w:pPr>
        <w:spacing w:after="0" w:before="160"/>
      </w:pPr>
      <w:r>
        <w:t xml:space="preserve"/>
      </w:r>
    </w:p>
    <w:p>
      <w:pPr>
        <w:pStyle w:val="Heading2"/>
        <w:spacing w:after="160" w:before="320"/>
      </w:pPr>
      <w:r>
        <w:rPr>
          <w:rFonts w:ascii="Arial" w:cs="Arial" w:eastAsia="Arial" w:hAnsi="Arial"/>
          <w:b/>
          <w:bCs/>
          <w:color w:val="2E75B6"/>
          <w:sz w:val="26"/>
          <w:szCs w:val="26"/>
        </w:rPr>
        <w:t xml:space="preserve">1.2 Design Principles</w:t>
      </w:r>
    </w:p>
    <w:p>
      <w:pPr>
        <w:pStyle w:val="ListParagraph"/>
        <w:numPr>
          <w:ilvl w:val="0"/>
          <w:numId w:val="2"/>
        </w:numPr>
        <w:spacing w:after="60" w:before="60"/>
      </w:pPr>
      <w:r>
        <w:rPr>
          <w:rFonts w:ascii="Arial" w:cs="Arial" w:eastAsia="Arial" w:hAnsi="Arial"/>
          <w:sz w:val="22"/>
          <w:szCs w:val="22"/>
        </w:rPr>
        <w:t xml:space="preserve">Consumer ownership. The consumer's instance is the authoritative source for their financial identity. Institutions are data sources, not data owners.</w:t>
      </w:r>
    </w:p>
    <w:p>
      <w:pPr>
        <w:pStyle w:val="ListParagraph"/>
        <w:numPr>
          <w:ilvl w:val="0"/>
          <w:numId w:val="2"/>
        </w:numPr>
        <w:spacing w:after="60" w:before="60"/>
      </w:pPr>
      <w:r>
        <w:rPr>
          <w:rFonts w:ascii="Arial" w:cs="Arial" w:eastAsia="Arial" w:hAnsi="Arial"/>
          <w:sz w:val="22"/>
          <w:szCs w:val="22"/>
        </w:rPr>
        <w:t xml:space="preserve">Federation over centralization. Any individual or institution can run an OFDP instance. Instances communicate through a standardized protocol without requiring a central authority for data exchange.</w:t>
      </w:r>
    </w:p>
    <w:p>
      <w:pPr>
        <w:pStyle w:val="ListParagraph"/>
        <w:numPr>
          <w:ilvl w:val="0"/>
          <w:numId w:val="2"/>
        </w:numPr>
        <w:spacing w:after="60" w:before="60"/>
      </w:pPr>
      <w:r>
        <w:rPr>
          <w:rFonts w:ascii="Arial" w:cs="Arial" w:eastAsia="Arial" w:hAnsi="Arial"/>
          <w:sz w:val="22"/>
          <w:szCs w:val="22"/>
        </w:rPr>
        <w:t xml:space="preserve">Privacy by default. Institutions cannot reach into consumer instances. Consumers pull data on their own schedule and grant access explicitly.</w:t>
      </w:r>
    </w:p>
    <w:p>
      <w:pPr>
        <w:pStyle w:val="ListParagraph"/>
        <w:numPr>
          <w:ilvl w:val="0"/>
          <w:numId w:val="2"/>
        </w:numPr>
        <w:spacing w:after="60" w:before="60"/>
      </w:pPr>
      <w:r>
        <w:rPr>
          <w:rFonts w:ascii="Arial" w:cs="Arial" w:eastAsia="Arial" w:hAnsi="Arial"/>
          <w:sz w:val="22"/>
          <w:szCs w:val="22"/>
        </w:rPr>
        <w:t xml:space="preserve">Provenance as a first-class requirement. All externally sourced data carries metadata describing its origin, verification status, and confidence level.</w:t>
      </w:r>
    </w:p>
    <w:p>
      <w:pPr>
        <w:pStyle w:val="ListParagraph"/>
        <w:numPr>
          <w:ilvl w:val="0"/>
          <w:numId w:val="2"/>
        </w:numPr>
        <w:spacing w:after="60" w:before="60"/>
      </w:pPr>
      <w:r>
        <w:rPr>
          <w:rFonts w:ascii="Arial" w:cs="Arial" w:eastAsia="Arial" w:hAnsi="Arial"/>
          <w:sz w:val="22"/>
          <w:szCs w:val="22"/>
        </w:rPr>
        <w:t xml:space="preserve">Lightweight enough to self-host. The core protocol is designed to run on modest hardware, including consumer-grade computers, enabling individuals to host their own financial data without cloud dependency.</w:t>
      </w:r>
    </w:p>
    <w:p>
      <w:pPr>
        <w:pStyle w:val="ListParagraph"/>
        <w:numPr>
          <w:ilvl w:val="0"/>
          <w:numId w:val="2"/>
        </w:numPr>
        <w:spacing w:after="60" w:before="60"/>
      </w:pPr>
      <w:r>
        <w:rPr>
          <w:rFonts w:ascii="Arial" w:cs="Arial" w:eastAsia="Arial" w:hAnsi="Arial"/>
          <w:sz w:val="22"/>
          <w:szCs w:val="22"/>
        </w:rPr>
        <w:t xml:space="preserve">AI-native. The data model and API are designed to be consumed by AI agents natively, with structured, normalized data that does not require transformation before analysis.</w:t>
      </w:r>
    </w:p>
    <w:p>
      <w:pPr>
        <w:pStyle w:val="ListParagraph"/>
        <w:numPr>
          <w:ilvl w:val="0"/>
          <w:numId w:val="2"/>
        </w:numPr>
        <w:spacing w:after="60" w:before="60"/>
      </w:pPr>
      <w:r>
        <w:rPr>
          <w:rFonts w:ascii="Arial" w:cs="Arial" w:eastAsia="Arial" w:hAnsi="Arial"/>
          <w:sz w:val="22"/>
          <w:szCs w:val="22"/>
        </w:rPr>
        <w:t xml:space="preserve">Extensible without fragmentation. Optional extension modules cover specialized use cases. Institutions are never penalized for not implementing extensions.</w:t>
      </w:r>
    </w:p>
    <w:p>
      <w:pPr>
        <w:spacing w:after="0" w:before="160"/>
      </w:pPr>
      <w:r>
        <w:t xml:space="preserve"/>
      </w:r>
    </w:p>
    <w:p>
      <w:pPr>
        <w:pStyle w:val="Heading2"/>
        <w:spacing w:after="160" w:before="320"/>
      </w:pPr>
      <w:r>
        <w:rPr>
          <w:rFonts w:ascii="Arial" w:cs="Arial" w:eastAsia="Arial" w:hAnsi="Arial"/>
          <w:b/>
          <w:bCs/>
          <w:color w:val="2E75B6"/>
          <w:sz w:val="26"/>
          <w:szCs w:val="26"/>
        </w:rPr>
        <w:t xml:space="preserve">1.3 Relationship to Existing Standards</w:t>
      </w:r>
    </w:p>
    <w:p>
      <w:pPr>
        <w:spacing w:after="80" w:before="80"/>
      </w:pPr>
      <w:r>
        <w:rPr>
          <w:rFonts w:ascii="Arial" w:cs="Arial" w:eastAsia="Arial" w:hAnsi="Arial"/>
          <w:sz w:val="22"/>
          <w:szCs w:val="22"/>
        </w:rPr>
        <w:t xml:space="preserve">OFDP is designed to coexist with and interface to existing financial data standards, not replace them.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OFDP Relationship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8"/>
                <w:szCs w:val="18"/>
              </w:rPr>
              <w:t xml:space="preserve">FDX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Institutional data sharing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OFDP consumes FDX-compliant APIs as a data source. FDX-certified institutions receive highest trust tier.</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8"/>
                <w:szCs w:val="18"/>
              </w:rPr>
              <w:t xml:space="preserve">ISO 20022</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Payment message standard</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OFDP maps ISO 20022 transaction fields to core Transaction schema.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8"/>
                <w:szCs w:val="18"/>
              </w:rPr>
              <w:t xml:space="preserve">SWIFT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Interbank messaging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Institutional-layer only. OFDP uses SWIFT codes for institution identification.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8"/>
                <w:szCs w:val="18"/>
              </w:rPr>
              <w:t xml:space="preserve">ACH / Zelle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Payment rails</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Payment execution only. OFDP records resulting transactions.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8"/>
                <w:szCs w:val="18"/>
              </w:rPr>
              <w:t xml:space="preserve">OAuth 2.0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Authorization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OFDP uses OAuth 2.0 as the authentication foundation for ConnectionRequests.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8"/>
                <w:szCs w:val="18"/>
              </w:rPr>
              <w:t xml:space="preserve">MCP</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AI data integration</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OFDP instances can expose an MCP server enabling AI agents to query financial data natively.</w:t>
            </w:r>
          </w:p>
        </w:tc>
      </w:tr>
    </w:tbl>
    <w:p>
      <w:r>
        <w:br w:type="page"/>
      </w:r>
    </w:p>
    <w:p>
      <w:pPr>
        <w:pStyle w:val="Heading1"/>
        <w:pBdr>
          <w:bottom w:val="single" w:color="2E75B6" w:sz="6" w:space="4"/>
        </w:pBdr>
        <w:spacing w:after="200" w:before="400"/>
      </w:pPr>
      <w:r>
        <w:rPr>
          <w:rFonts w:ascii="Arial" w:cs="Arial" w:eastAsia="Arial" w:hAnsi="Arial"/>
          <w:b/>
          <w:bCs/>
          <w:color w:val="1B4F8A"/>
          <w:sz w:val="32"/>
          <w:szCs w:val="32"/>
        </w:rPr>
        <w:t xml:space="preserve">2. Provenance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60" w:before="0"/>
            </w:pPr>
            <w:r>
              <w:rPr>
                <w:rFonts w:ascii="Arial" w:cs="Arial" w:eastAsia="Arial" w:hAnsi="Arial"/>
                <w:b/>
                <w:bCs/>
                <w:color w:val="1B4F8A"/>
                <w:sz w:val="22"/>
                <w:szCs w:val="22"/>
              </w:rPr>
              <w:t xml:space="preserve">Core Protocol Requirement</w:t>
            </w:r>
          </w:p>
          <w:p>
            <w:pPr>
              <w:spacing w:after="0" w:before="0"/>
            </w:pPr>
            <w:r>
              <w:rPr>
                <w:rFonts w:ascii="Arial" w:cs="Arial" w:eastAsia="Arial" w:hAnsi="Arial"/>
                <w:color w:val="444444"/>
                <w:sz w:val="20"/>
                <w:szCs w:val="20"/>
              </w:rPr>
              <w:t xml:space="preserve">All externally sourced data in OFDP carries provenance metadata including source, verification status, retrieval timestamp, and confidence level. Conflicts between records of the same data point are resolved by the provenance hierarchy defined in this section. This requirement is non-negotiable and applies to every data entity in the protocol.</w:t>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2.1 ProvenanceBase</w:t>
      </w:r>
    </w:p>
    <w:p>
      <w:pPr>
        <w:spacing w:after="80" w:before="80"/>
      </w:pPr>
      <w:r>
        <w:rPr>
          <w:rFonts w:ascii="Arial" w:cs="Arial" w:eastAsia="Arial" w:hAnsi="Arial"/>
          <w:sz w:val="22"/>
          <w:szCs w:val="22"/>
        </w:rPr>
        <w:t xml:space="preserve">Every schema that contains externally sourced data extends ProvenanceBase. This is enforced at the protocol level — any compliant implementation that omits provenance fields on applicable records is non-compliant.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ProvenanceBase — Extended by all external data entities</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source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Data origin. See Section 2.2 for ranked source hierarchy.</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is_verified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Whether the institution confirmed this data from its authoritative system.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verified_by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User.id?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User or system that performed verification. Null if unverified.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verified_date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When verification occurred. Null if unverified.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retrieved_date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the protocol instance received this data.</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source_institution_id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Institution.id?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Institution that provided the data. Null for user-entered data.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delivery_mechanism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direct / aggregator / user_upload / computed / null</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aggregator_id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Institution.id?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Which aggregator delivered the data, if applicable.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confidence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high / medium / low / unknown — protocol-level trust signal for AI consumers.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overridden_by_user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Whether the user has edited a sourced fact on this record. Overridden fields are never auto-superseded — conflicting updates escalate to the user (Section 2.6).</w:t>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2.2 Source Hierarchy</w:t>
      </w:r>
    </w:p>
    <w:p>
      <w:pPr>
        <w:spacing w:after="80" w:before="80"/>
      </w:pPr>
      <w:r>
        <w:rPr>
          <w:rFonts w:ascii="Arial" w:cs="Arial" w:eastAsia="Arial" w:hAnsi="Arial"/>
          <w:sz w:val="22"/>
          <w:szCs w:val="22"/>
        </w:rPr>
        <w:t xml:space="preserve">Sources are ranked 1 (highest trust) through 12 (lowest trust). This ranking governs automatic conflict resolution under Rule 1 (Section 2.4).</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5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8A"/>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institution_api + is_verified</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Data delivered via institution API and confirmed from authoritative core banking system.</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B4F8A"/>
                <w:sz w:val="20"/>
                <w:szCs w:val="20"/>
              </w:rPr>
              <w:t xml:space="preserve">2</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fdx_api + is_verified</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Data delivered via FDX-compliant API with verification flag set.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8A"/>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contract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Stated terms in a loan, account agreement, or legal document.</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B4F8A"/>
                <w:sz w:val="20"/>
                <w:szCs w:val="20"/>
              </w:rPr>
              <w:t xml:space="preserve">4</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government_api</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IRS transcript, studentaid.gov, Social Security Administration API.</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8A"/>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institution_api (unverified)</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Data delivered via institution API without explicit verification confirmation.</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B4F8A"/>
                <w:sz w:val="20"/>
                <w:szCs w:val="20"/>
              </w:rPr>
              <w:t xml:space="preserve">6</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computed</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Derived from one or more rank 1-4 sources using protocol-defined calculations.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8A"/>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credit_bureau</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Experian, Equifax, or TransUnion. Authoritative for credit history; error-prone.</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B4F8A"/>
                <w:sz w:val="20"/>
                <w:szCs w:val="20"/>
              </w:rPr>
              <w:t xml:space="preserve">8</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screen_scraped</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Parsed from institution web interface. No API contract guaranteeing data format.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8A"/>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aggregator (pass-through)</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Delivered by a third-party aggregator. Underlying source type governs rank.</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B4F8A"/>
                <w:sz w:val="20"/>
                <w:szCs w:val="20"/>
              </w:rPr>
              <w:t xml:space="preserve">10</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document_import</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Extracted from user-uploaded statement PDF or scanned receipt.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8A"/>
                <w:sz w:val="20"/>
                <w:szCs w:val="20"/>
              </w:rPr>
              <w:t xml:space="preserve">11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manual_import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Imported from CSV, OFX, or QIF file by the user.</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B4F8A"/>
                <w:sz w:val="20"/>
                <w:szCs w:val="20"/>
              </w:rPr>
              <w:t xml:space="preserve">12</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user_entered</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Entered directly by the user with no supporting document. Applies only to records created from nothing — user edits to sourced records retain the original provenance (Section 2.6).</w:t>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2.3 Verification Tiers</w:t>
      </w:r>
    </w:p>
    <w:p>
      <w:pPr>
        <w:spacing w:after="80" w:before="80"/>
      </w:pPr>
      <w:r>
        <w:rPr>
          <w:rFonts w:ascii="Arial" w:cs="Arial" w:eastAsia="Arial" w:hAnsi="Arial"/>
          <w:sz w:val="22"/>
          <w:szCs w:val="22"/>
        </w:rPr>
        <w:t xml:space="preserve">Institutions participating in OFDP are assigned a verification tier. Higher tiers unlock higher source rankings and stronger trust signals for consumers and AI agents consuming their data.</w:t>
      </w:r>
    </w:p>
    <w:p>
      <w:pPr>
        <w:spacing w:after="0" w:before="80"/>
      </w:pPr>
      <w:r>
        <w:t xml:space="preserve"/>
      </w:r>
    </w:p>
    <w:p>
      <w:pPr>
        <w:pStyle w:val="Heading3"/>
        <w:spacing w:after="120" w:before="240"/>
      </w:pPr>
      <w:r>
        <w:rPr>
          <w:rFonts w:ascii="Arial" w:cs="Arial" w:eastAsia="Arial" w:hAnsi="Arial"/>
          <w:b/>
          <w:bCs/>
          <w:color w:val="444444"/>
          <w:sz w:val="22"/>
          <w:szCs w:val="22"/>
        </w:rPr>
        <w:t xml:space="preserve">Tier 4 — Self Certified</w:t>
      </w:r>
    </w:p>
    <w:p>
      <w:pPr>
        <w:pStyle w:val="ListParagraph"/>
        <w:numPr>
          <w:ilvl w:val="0"/>
          <w:numId w:val="2"/>
        </w:numPr>
        <w:spacing w:after="60" w:before="60"/>
      </w:pPr>
      <w:r>
        <w:rPr>
          <w:rFonts w:ascii="Arial" w:cs="Arial" w:eastAsia="Arial" w:hAnsi="Arial"/>
          <w:sz w:val="22"/>
          <w:szCs w:val="22"/>
        </w:rPr>
        <w:t xml:space="preserve">Valid legal entity registration</w:t>
      </w:r>
    </w:p>
    <w:p>
      <w:pPr>
        <w:pStyle w:val="ListParagraph"/>
        <w:numPr>
          <w:ilvl w:val="0"/>
          <w:numId w:val="2"/>
        </w:numPr>
        <w:spacing w:after="60" w:before="60"/>
      </w:pPr>
      <w:r>
        <w:rPr>
          <w:rFonts w:ascii="Arial" w:cs="Arial" w:eastAsia="Arial" w:hAnsi="Arial"/>
          <w:sz w:val="22"/>
          <w:szCs w:val="22"/>
        </w:rPr>
        <w:t xml:space="preserve">Registered endpoint in protocol registry</w:t>
      </w:r>
    </w:p>
    <w:p>
      <w:pPr>
        <w:pStyle w:val="ListParagraph"/>
        <w:numPr>
          <w:ilvl w:val="0"/>
          <w:numId w:val="2"/>
        </w:numPr>
        <w:spacing w:after="60" w:before="60"/>
      </w:pPr>
      <w:r>
        <w:rPr>
          <w:rFonts w:ascii="Arial" w:cs="Arial" w:eastAsia="Arial" w:hAnsi="Arial"/>
          <w:sz w:val="22"/>
          <w:szCs w:val="22"/>
        </w:rPr>
        <w:t xml:space="preserve">Self-signed certificate with institution private key</w:t>
      </w:r>
    </w:p>
    <w:p>
      <w:pPr>
        <w:pStyle w:val="ListParagraph"/>
        <w:numPr>
          <w:ilvl w:val="0"/>
          <w:numId w:val="2"/>
        </w:numPr>
        <w:spacing w:after="60" w:before="60"/>
      </w:pPr>
      <w:r>
        <w:rPr>
          <w:rFonts w:ascii="Arial" w:cs="Arial" w:eastAsia="Arial" w:hAnsi="Arial"/>
          <w:sz w:val="22"/>
          <w:szCs w:val="22"/>
        </w:rPr>
        <w:t xml:space="preserve">Endpoint passes API compliance test suite</w:t>
      </w:r>
    </w:p>
    <w:p>
      <w:pPr>
        <w:pStyle w:val="ListParagraph"/>
        <w:numPr>
          <w:ilvl w:val="0"/>
          <w:numId w:val="2"/>
        </w:numPr>
        <w:spacing w:after="60" w:before="60"/>
      </w:pPr>
      <w:r>
        <w:rPr>
          <w:rFonts w:ascii="Arial" w:cs="Arial" w:eastAsia="Arial" w:hAnsi="Arial"/>
          <w:sz w:val="22"/>
          <w:szCs w:val="22"/>
        </w:rPr>
        <w:t xml:space="preserve">Provenance metadata on all responses</w:t>
      </w:r>
    </w:p>
    <w:p>
      <w:pPr>
        <w:spacing w:after="0" w:before="80"/>
      </w:pPr>
      <w:r>
        <w:t xml:space="preserve"/>
      </w:r>
    </w:p>
    <w:p>
      <w:pPr>
        <w:pStyle w:val="Heading3"/>
        <w:spacing w:after="120" w:before="240"/>
      </w:pPr>
      <w:r>
        <w:rPr>
          <w:rFonts w:ascii="Arial" w:cs="Arial" w:eastAsia="Arial" w:hAnsi="Arial"/>
          <w:b/>
          <w:bCs/>
          <w:color w:val="444444"/>
          <w:sz w:val="22"/>
          <w:szCs w:val="22"/>
        </w:rPr>
        <w:t xml:space="preserve">Tier 3 — Protocol Certified</w:t>
      </w:r>
    </w:p>
    <w:p>
      <w:pPr>
        <w:pStyle w:val="ListParagraph"/>
        <w:numPr>
          <w:ilvl w:val="0"/>
          <w:numId w:val="2"/>
        </w:numPr>
        <w:spacing w:after="60" w:before="60"/>
      </w:pPr>
      <w:r>
        <w:rPr>
          <w:rFonts w:ascii="Arial" w:cs="Arial" w:eastAsia="Arial" w:hAnsi="Arial"/>
          <w:sz w:val="22"/>
          <w:szCs w:val="22"/>
        </w:rPr>
        <w:t xml:space="preserve">All Tier 4 requirements</w:t>
      </w:r>
    </w:p>
    <w:p>
      <w:pPr>
        <w:pStyle w:val="ListParagraph"/>
        <w:numPr>
          <w:ilvl w:val="0"/>
          <w:numId w:val="2"/>
        </w:numPr>
        <w:spacing w:after="60" w:before="60"/>
      </w:pPr>
      <w:r>
        <w:rPr>
          <w:rFonts w:ascii="Arial" w:cs="Arial" w:eastAsia="Arial" w:hAnsi="Arial"/>
          <w:sz w:val="22"/>
          <w:szCs w:val="22"/>
        </w:rPr>
        <w:t xml:space="preserve">Legal entity verified against regulatory records</w:t>
      </w:r>
    </w:p>
    <w:p>
      <w:pPr>
        <w:pStyle w:val="ListParagraph"/>
        <w:numPr>
          <w:ilvl w:val="0"/>
          <w:numId w:val="2"/>
        </w:numPr>
        <w:spacing w:after="60" w:before="60"/>
      </w:pPr>
      <w:r>
        <w:rPr>
          <w:rFonts w:ascii="Arial" w:cs="Arial" w:eastAsia="Arial" w:hAnsi="Arial"/>
          <w:sz w:val="22"/>
          <w:szCs w:val="22"/>
        </w:rPr>
        <w:t xml:space="preserve">Routing or SWIFT code verified against authoritative registry</w:t>
      </w:r>
    </w:p>
    <w:p>
      <w:pPr>
        <w:pStyle w:val="ListParagraph"/>
        <w:numPr>
          <w:ilvl w:val="0"/>
          <w:numId w:val="2"/>
        </w:numPr>
        <w:spacing w:after="60" w:before="60"/>
      </w:pPr>
      <w:r>
        <w:rPr>
          <w:rFonts w:ascii="Arial" w:cs="Arial" w:eastAsia="Arial" w:hAnsi="Arial"/>
          <w:sz w:val="22"/>
          <w:szCs w:val="22"/>
        </w:rPr>
        <w:t xml:space="preserve">Certificate issued by OFDP foundation as intermediate CA</w:t>
      </w:r>
    </w:p>
    <w:p>
      <w:pPr>
        <w:pStyle w:val="ListParagraph"/>
        <w:numPr>
          <w:ilvl w:val="0"/>
          <w:numId w:val="2"/>
        </w:numPr>
        <w:spacing w:after="60" w:before="60"/>
      </w:pPr>
      <w:r>
        <w:rPr>
          <w:rFonts w:ascii="Arial" w:cs="Arial" w:eastAsia="Arial" w:hAnsi="Arial"/>
          <w:sz w:val="22"/>
          <w:szCs w:val="22"/>
        </w:rPr>
        <w:t xml:space="preserve">Annual recertification required</w:t>
      </w:r>
    </w:p>
    <w:p>
      <w:pPr>
        <w:spacing w:after="0" w:before="80"/>
      </w:pPr>
      <w:r>
        <w:t xml:space="preserve"/>
      </w:r>
    </w:p>
    <w:p>
      <w:pPr>
        <w:pStyle w:val="Heading3"/>
        <w:spacing w:after="120" w:before="240"/>
      </w:pPr>
      <w:r>
        <w:rPr>
          <w:rFonts w:ascii="Arial" w:cs="Arial" w:eastAsia="Arial" w:hAnsi="Arial"/>
          <w:b/>
          <w:bCs/>
          <w:color w:val="444444"/>
          <w:sz w:val="22"/>
          <w:szCs w:val="22"/>
        </w:rPr>
        <w:t xml:space="preserve">Tier 2 — Verified Institution</w:t>
      </w:r>
    </w:p>
    <w:p>
      <w:pPr>
        <w:pStyle w:val="ListParagraph"/>
        <w:numPr>
          <w:ilvl w:val="0"/>
          <w:numId w:val="2"/>
        </w:numPr>
        <w:spacing w:after="60" w:before="60"/>
      </w:pPr>
      <w:r>
        <w:rPr>
          <w:rFonts w:ascii="Arial" w:cs="Arial" w:eastAsia="Arial" w:hAnsi="Arial"/>
          <w:sz w:val="22"/>
          <w:szCs w:val="22"/>
        </w:rPr>
        <w:t xml:space="preserve">All Tier 3 requirements</w:t>
      </w:r>
    </w:p>
    <w:p>
      <w:pPr>
        <w:pStyle w:val="ListParagraph"/>
        <w:numPr>
          <w:ilvl w:val="0"/>
          <w:numId w:val="2"/>
        </w:numPr>
        <w:spacing w:after="60" w:before="60"/>
      </w:pPr>
      <w:r>
        <w:rPr>
          <w:rFonts w:ascii="Arial" w:cs="Arial" w:eastAsia="Arial" w:hAnsi="Arial"/>
          <w:sz w:val="22"/>
          <w:szCs w:val="22"/>
        </w:rPr>
        <w:t xml:space="preserve">Responses include verification timestamp from core banking system</w:t>
      </w:r>
    </w:p>
    <w:p>
      <w:pPr>
        <w:pStyle w:val="ListParagraph"/>
        <w:numPr>
          <w:ilvl w:val="0"/>
          <w:numId w:val="2"/>
        </w:numPr>
        <w:spacing w:after="60" w:before="60"/>
      </w:pPr>
      <w:r>
        <w:rPr>
          <w:rFonts w:ascii="Arial" w:cs="Arial" w:eastAsia="Arial" w:hAnsi="Arial"/>
          <w:sz w:val="22"/>
          <w:szCs w:val="22"/>
        </w:rPr>
        <w:t xml:space="preserve">Institution certifies data is pulled from authoritative source, not cache</w:t>
      </w:r>
    </w:p>
    <w:p>
      <w:pPr>
        <w:pStyle w:val="ListParagraph"/>
        <w:numPr>
          <w:ilvl w:val="0"/>
          <w:numId w:val="2"/>
        </w:numPr>
        <w:spacing w:after="60" w:before="60"/>
      </w:pPr>
      <w:r>
        <w:rPr>
          <w:rFonts w:ascii="Arial" w:cs="Arial" w:eastAsia="Arial" w:hAnsi="Arial"/>
          <w:sz w:val="22"/>
          <w:szCs w:val="22"/>
        </w:rPr>
        <w:t xml:space="preserve">Institution maintains audit log of all data requests</w:t>
      </w:r>
    </w:p>
    <w:p>
      <w:pPr>
        <w:pStyle w:val="ListParagraph"/>
        <w:numPr>
          <w:ilvl w:val="0"/>
          <w:numId w:val="2"/>
        </w:numPr>
        <w:spacing w:after="60" w:before="60"/>
      </w:pPr>
      <w:r>
        <w:rPr>
          <w:rFonts w:ascii="Arial" w:cs="Arial" w:eastAsia="Arial" w:hAnsi="Arial"/>
          <w:sz w:val="22"/>
          <w:szCs w:val="22"/>
        </w:rPr>
        <w:t xml:space="preserve">Breach notification within 24 hours of security incident</w:t>
      </w:r>
    </w:p>
    <w:p>
      <w:pPr>
        <w:pStyle w:val="ListParagraph"/>
        <w:numPr>
          <w:ilvl w:val="0"/>
          <w:numId w:val="2"/>
        </w:numPr>
        <w:spacing w:after="60" w:before="60"/>
      </w:pPr>
      <w:r>
        <w:rPr>
          <w:rFonts w:ascii="Arial" w:cs="Arial" w:eastAsia="Arial" w:hAnsi="Arial"/>
          <w:sz w:val="22"/>
          <w:szCs w:val="22"/>
        </w:rPr>
        <w:t xml:space="preserve">Biannual compliance audit by OFDP foundation or designated third party</w:t>
      </w:r>
    </w:p>
    <w:p>
      <w:pPr>
        <w:spacing w:after="0" w:before="80"/>
      </w:pPr>
      <w:r>
        <w:t xml:space="preserve"/>
      </w:r>
    </w:p>
    <w:p>
      <w:pPr>
        <w:pStyle w:val="Heading3"/>
        <w:spacing w:after="120" w:before="240"/>
      </w:pPr>
      <w:r>
        <w:rPr>
          <w:rFonts w:ascii="Arial" w:cs="Arial" w:eastAsia="Arial" w:hAnsi="Arial"/>
          <w:b/>
          <w:bCs/>
          <w:color w:val="444444"/>
          <w:sz w:val="22"/>
          <w:szCs w:val="22"/>
        </w:rPr>
        <w:t xml:space="preserve">Tier 1 — FDX Certified</w:t>
      </w:r>
    </w:p>
    <w:p>
      <w:pPr>
        <w:pStyle w:val="ListParagraph"/>
        <w:numPr>
          <w:ilvl w:val="0"/>
          <w:numId w:val="2"/>
        </w:numPr>
        <w:spacing w:after="60" w:before="60"/>
      </w:pPr>
      <w:r>
        <w:rPr>
          <w:rFonts w:ascii="Arial" w:cs="Arial" w:eastAsia="Arial" w:hAnsi="Arial"/>
          <w:sz w:val="22"/>
          <w:szCs w:val="22"/>
        </w:rPr>
        <w:t xml:space="preserve">All Tier 2 requirements</w:t>
      </w:r>
    </w:p>
    <w:p>
      <w:pPr>
        <w:pStyle w:val="ListParagraph"/>
        <w:numPr>
          <w:ilvl w:val="0"/>
          <w:numId w:val="2"/>
        </w:numPr>
        <w:spacing w:after="60" w:before="60"/>
      </w:pPr>
      <w:r>
        <w:rPr>
          <w:rFonts w:ascii="Arial" w:cs="Arial" w:eastAsia="Arial" w:hAnsi="Arial"/>
          <w:sz w:val="22"/>
          <w:szCs w:val="22"/>
        </w:rPr>
        <w:t xml:space="preserve">Current FDX certification in good standing</w:t>
      </w:r>
    </w:p>
    <w:p>
      <w:pPr>
        <w:pStyle w:val="ListParagraph"/>
        <w:numPr>
          <w:ilvl w:val="0"/>
          <w:numId w:val="2"/>
        </w:numPr>
        <w:spacing w:after="60" w:before="60"/>
      </w:pPr>
      <w:r>
        <w:rPr>
          <w:rFonts w:ascii="Arial" w:cs="Arial" w:eastAsia="Arial" w:hAnsi="Arial"/>
          <w:sz w:val="22"/>
          <w:szCs w:val="22"/>
        </w:rPr>
        <w:t xml:space="preserve">FDX API version compatibility with current protocol version</w:t>
      </w:r>
    </w:p>
    <w:p>
      <w:pPr>
        <w:pStyle w:val="ListParagraph"/>
        <w:numPr>
          <w:ilvl w:val="0"/>
          <w:numId w:val="2"/>
        </w:numPr>
        <w:spacing w:after="60" w:before="60"/>
      </w:pPr>
      <w:r>
        <w:rPr>
          <w:rFonts w:ascii="Arial" w:cs="Arial" w:eastAsia="Arial" w:hAnsi="Arial"/>
          <w:sz w:val="22"/>
          <w:szCs w:val="22"/>
        </w:rPr>
        <w:t xml:space="preserve">Data fields map directly to OFDP schema without transformation ambiguity</w:t>
      </w:r>
    </w:p>
    <w:p>
      <w:pPr>
        <w:pStyle w:val="ListParagraph"/>
        <w:numPr>
          <w:ilvl w:val="0"/>
          <w:numId w:val="2"/>
        </w:numPr>
        <w:spacing w:after="60" w:before="60"/>
      </w:pPr>
      <w:r>
        <w:rPr>
          <w:rFonts w:ascii="Arial" w:cs="Arial" w:eastAsia="Arial" w:hAnsi="Arial"/>
          <w:sz w:val="22"/>
          <w:szCs w:val="22"/>
        </w:rPr>
        <w:t xml:space="preserve">FDX compliance audit accepted in lieu of OFDP foundation audit</w:t>
      </w:r>
    </w:p>
    <w:p>
      <w:pPr>
        <w:spacing w:after="0" w:before="80"/>
      </w:pPr>
      <w:r>
        <w:t xml:space="preserve"/>
      </w:r>
    </w:p>
    <w:p>
      <w:pPr>
        <w:spacing w:after="0" w:before="160"/>
      </w:pPr>
      <w:r>
        <w:t xml:space="preserve"/>
      </w:r>
    </w:p>
    <w:p>
      <w:pPr>
        <w:pStyle w:val="Heading2"/>
        <w:spacing w:after="160" w:before="320"/>
      </w:pPr>
      <w:r>
        <w:rPr>
          <w:rFonts w:ascii="Arial" w:cs="Arial" w:eastAsia="Arial" w:hAnsi="Arial"/>
          <w:b/>
          <w:bCs/>
          <w:color w:val="2E75B6"/>
          <w:sz w:val="26"/>
          <w:szCs w:val="26"/>
        </w:rPr>
        <w:t xml:space="preserve">2.4 Conflict Resolution Rules</w:t>
      </w:r>
    </w:p>
    <w:p>
      <w:pPr>
        <w:spacing w:after="80" w:before="80"/>
      </w:pPr>
      <w:r>
        <w:rPr>
          <w:rFonts w:ascii="Arial" w:cs="Arial" w:eastAsia="Arial" w:hAnsi="Arial"/>
          <w:sz w:val="22"/>
          <w:szCs w:val="22"/>
        </w:rPr>
        <w:t xml:space="preserve">When two records describe the same data point, the following rules apply in order.</w:t>
      </w:r>
    </w:p>
    <w:p>
      <w:pPr>
        <w:spacing w:after="0" w:before="80"/>
      </w:pPr>
      <w:r>
        <w:t xml:space="preserve"/>
      </w:r>
    </w:p>
    <w:p>
      <w:pPr>
        <w:pStyle w:val="Heading3"/>
        <w:spacing w:after="120" w:before="240"/>
      </w:pPr>
      <w:r>
        <w:rPr>
          <w:rFonts w:ascii="Arial" w:cs="Arial" w:eastAsia="Arial" w:hAnsi="Arial"/>
          <w:b/>
          <w:bCs/>
          <w:color w:val="444444"/>
          <w:sz w:val="22"/>
          <w:szCs w:val="22"/>
        </w:rPr>
        <w:t xml:space="preserve">Rule 1 — Higher Rank Wins Automatically</w:t>
      </w:r>
    </w:p>
    <w:p>
      <w:pPr>
        <w:spacing w:after="80" w:before="80"/>
      </w:pPr>
      <w:r>
        <w:rPr>
          <w:rFonts w:ascii="Arial" w:cs="Arial" w:eastAsia="Arial" w:hAnsi="Arial"/>
          <w:sz w:val="22"/>
          <w:szCs w:val="22"/>
        </w:rPr>
        <w:t xml:space="preserve">When two records have sources of different ranks, the higher ranked source is accepted as canonical. The lower ranked record is retained with status superseded. No user intervention is required. The resolution is logged in ConflictResolution with resolved_by: system.</w:t>
      </w:r>
    </w:p>
    <w:p>
      <w:pPr>
        <w:spacing w:after="0" w:before="80"/>
      </w:pPr>
      <w:r>
        <w:t xml:space="preserve"/>
      </w:r>
    </w:p>
    <w:p>
      <w:pPr>
        <w:pStyle w:val="Heading3"/>
        <w:spacing w:after="120" w:before="240"/>
      </w:pPr>
      <w:r>
        <w:rPr>
          <w:rFonts w:ascii="Arial" w:cs="Arial" w:eastAsia="Arial" w:hAnsi="Arial"/>
          <w:b/>
          <w:bCs/>
          <w:color w:val="444444"/>
          <w:sz w:val="22"/>
          <w:szCs w:val="22"/>
        </w:rPr>
        <w:t xml:space="preserve">Rule 2 — Equal Rank Conflicts Escalate to User</w:t>
      </w:r>
    </w:p>
    <w:p>
      <w:pPr>
        <w:spacing w:after="80" w:before="80"/>
      </w:pPr>
      <w:r>
        <w:rPr>
          <w:rFonts w:ascii="Arial" w:cs="Arial" w:eastAsia="Arial" w:hAnsi="Arial"/>
          <w:sz w:val="22"/>
          <w:szCs w:val="22"/>
        </w:rPr>
        <w:t xml:space="preserve">When two records have sources of the same rank, neither automatically wins. The conflict is surfaced to the user showing both values, their sources, and a choose-one interface. The user's choice is recorded in ConflictResolution with resolved_by: user.</w:t>
      </w:r>
    </w:p>
    <w:p>
      <w:pPr>
        <w:spacing w:after="0" w:before="80"/>
      </w:pPr>
      <w:r>
        <w:t xml:space="preserve"/>
      </w:r>
    </w:p>
    <w:p>
      <w:pPr>
        <w:pStyle w:val="Heading3"/>
        <w:spacing w:after="120" w:before="240"/>
      </w:pPr>
      <w:r>
        <w:rPr>
          <w:rFonts w:ascii="Arial" w:cs="Arial" w:eastAsia="Arial" w:hAnsi="Arial"/>
          <w:b/>
          <w:bCs/>
          <w:color w:val="444444"/>
          <w:sz w:val="22"/>
          <w:szCs w:val="22"/>
        </w:rPr>
        <w:t xml:space="preserve">Rule 3 — Significant Divergence Triggers Alert Regardless of Rank</w:t>
      </w:r>
    </w:p>
    <w:p>
      <w:pPr>
        <w:spacing w:after="80" w:before="80"/>
      </w:pPr>
      <w:r>
        <w:rPr>
          <w:rFonts w:ascii="Arial" w:cs="Arial" w:eastAsia="Arial" w:hAnsi="Arial"/>
          <w:sz w:val="22"/>
          <w:szCs w:val="22"/>
        </w:rPr>
        <w:t xml:space="preserve">When Rule 1 resolves a conflict automatically but the difference between values exceeds a defined threshold, the conflict is flagged for user review even though it was automatically resolved. This pattern is consistent with data entry errors, institution errors, or potential fraud.</w:t>
      </w:r>
    </w:p>
    <w:p>
      <w:pPr>
        <w:spacing w:after="0" w:before="80"/>
      </w:pPr>
      <w:r>
        <w:t xml:space="preserve"/>
      </w:r>
    </w:p>
    <w:p>
      <w:pPr>
        <w:spacing w:after="80" w:before="80"/>
      </w:pPr>
      <w:r>
        <w:rPr>
          <w:rFonts w:ascii="Arial" w:cs="Arial" w:eastAsia="Arial" w:hAnsi="Arial"/>
          <w:sz w:val="22"/>
          <w:szCs w:val="22"/>
        </w:rPr>
        <w:t xml:space="preserve">Default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16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Threshold Type</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Threshold Value</w:t>
            </w:r>
          </w:p>
        </w:tc>
        <w:tc>
          <w:tcPr>
            <w:tcW w:type="dxa" w:w="2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Alert Level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Transaction amount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percentage or absolute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5% or $10 (smaller)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warning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Account balance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percentage or absolute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1% or $100 (smaller)</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critical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Interest rate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any difference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any change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critical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Asset price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percentage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10%</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warning</w:t>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2.5 Record Matching and Deduplication</w:t>
      </w:r>
    </w:p>
    <w:p>
      <w:pPr>
        <w:spacing w:after="80" w:before="80"/>
      </w:pPr>
      <w:r>
        <w:rPr>
          <w:rFonts w:ascii="Arial" w:cs="Arial" w:eastAsia="Arial" w:hAnsi="Arial"/>
          <w:sz w:val="22"/>
          <w:szCs w:val="22"/>
        </w:rPr>
        <w:t xml:space="preserve">Conflict resolution presupposes that two records can be identified as describing the same data point — and identifying them is the harder problem. Implementations apply the following matching cascade in order when ingesting records. The first layer that produces a confident decision wins. Ambiguous matches are never merged automatically.</w:t>
      </w:r>
    </w:p>
    <w:p>
      <w:pPr>
        <w:spacing w:after="0" w:before="80"/>
      </w:pPr>
      <w:r>
        <w:t xml:space="preserve"/>
      </w:r>
    </w:p>
    <w:p>
      <w:pPr>
        <w:pStyle w:val="Heading3"/>
        <w:spacing w:after="120" w:before="240"/>
      </w:pPr>
      <w:r>
        <w:rPr>
          <w:rFonts w:ascii="Arial" w:cs="Arial" w:eastAsia="Arial" w:hAnsi="Arial"/>
          <w:b/>
          <w:bCs/>
          <w:color w:val="444444"/>
          <w:sz w:val="22"/>
          <w:szCs w:val="22"/>
        </w:rPr>
        <w:t xml:space="preserve">Layer 1 — External Identifier</w:t>
      </w:r>
    </w:p>
    <w:p>
      <w:pPr>
        <w:spacing w:after="80" w:before="80"/>
      </w:pPr>
      <w:r>
        <w:rPr>
          <w:rFonts w:ascii="Arial" w:cs="Arial" w:eastAsia="Arial" w:hAnsi="Arial"/>
          <w:sz w:val="22"/>
          <w:szCs w:val="22"/>
        </w:rPr>
        <w:t xml:space="preserve">When the source provides a stable institution-assigned identifier — an FDX transactionId, an OFX FITID — that identifier is the authoritative match key, stored in Transaction.external_id. Two records with the same external_id within the same account and source are the same transaction. No heuristic matching is applied. Sources at ranks 1 through 5 are expected to provide external identifiers.</w:t>
      </w:r>
    </w:p>
    <w:p>
      <w:pPr>
        <w:spacing w:after="0" w:before="80"/>
      </w:pPr>
      <w:r>
        <w:t xml:space="preserve"/>
      </w:r>
    </w:p>
    <w:p>
      <w:pPr>
        <w:pStyle w:val="Heading3"/>
        <w:spacing w:after="120" w:before="240"/>
      </w:pPr>
      <w:r>
        <w:rPr>
          <w:rFonts w:ascii="Arial" w:cs="Arial" w:eastAsia="Arial" w:hAnsi="Arial"/>
          <w:b/>
          <w:bCs/>
          <w:color w:val="444444"/>
          <w:sz w:val="22"/>
          <w:szCs w:val="22"/>
        </w:rPr>
        <w:t xml:space="preserve">Layer 2 — Deterministic Fingerprint</w:t>
      </w:r>
    </w:p>
    <w:p>
      <w:pPr>
        <w:spacing w:after="80" w:before="80"/>
      </w:pPr>
      <w:r>
        <w:rPr>
          <w:rFonts w:ascii="Arial" w:cs="Arial" w:eastAsia="Arial" w:hAnsi="Arial"/>
          <w:sz w:val="22"/>
          <w:szCs w:val="22"/>
        </w:rPr>
        <w:t xml:space="preserve">When no external identifier exists (CSV imports, document imports), the implementation computes a fingerprint: a hash of account, date, amount, and normalized name, plus an occurrence index within the import batch. Two identical rows in one batch are two transactions — occurrences are counted within the batch and suffixed to the fingerprint. Deduplication runs only across syncs, by comparing occurrence counts: a batch containing two identical rows, imported against a store already holding one match, imports exactly one more.</w:t>
      </w:r>
    </w:p>
    <w:p>
      <w:pPr>
        <w:spacing w:after="0" w:before="80"/>
      </w:pPr>
      <w:r>
        <w:t xml:space="preserve"/>
      </w:r>
    </w:p>
    <w:p>
      <w:pPr>
        <w:pStyle w:val="Heading3"/>
        <w:spacing w:after="120" w:before="240"/>
      </w:pPr>
      <w:r>
        <w:rPr>
          <w:rFonts w:ascii="Arial" w:cs="Arial" w:eastAsia="Arial" w:hAnsi="Arial"/>
          <w:b/>
          <w:bCs/>
          <w:color w:val="444444"/>
          <w:sz w:val="22"/>
          <w:szCs w:val="22"/>
        </w:rPr>
        <w:t xml:space="preserve">Layer 3 — Fuzzy Window Matching</w:t>
      </w:r>
    </w:p>
    <w:p>
      <w:pPr>
        <w:spacing w:after="80" w:before="80"/>
      </w:pPr>
      <w:r>
        <w:rPr>
          <w:rFonts w:ascii="Arial" w:cs="Arial" w:eastAsia="Arial" w:hAnsi="Arial"/>
          <w:sz w:val="22"/>
          <w:szCs w:val="22"/>
        </w:rPr>
        <w:t xml:space="preserve">Cross-source correlation — including pending-to-posted transitions — cannot rely on exact fields: the posting date may shift one to three days, the amount may change (gratuity added after authorization), and the descriptor may be rewritten entirely. Default parameters: match window of ±3 days, amount tolerance of 20% for records in pending status, and normalized-name similarity. A candidate match that is not confident is never auto-merged; it escalates to the user under Rule 2, showing both records with merge and keep-both options.</w:t>
      </w:r>
    </w:p>
    <w:p>
      <w:pPr>
        <w:spacing w:after="0" w:before="80"/>
      </w:pPr>
      <w:r>
        <w:t xml:space="preserve"/>
      </w:r>
    </w:p>
    <w:p>
      <w:pPr>
        <w:pStyle w:val="Heading3"/>
        <w:spacing w:after="120" w:before="240"/>
      </w:pPr>
      <w:r>
        <w:rPr>
          <w:rFonts w:ascii="Arial" w:cs="Arial" w:eastAsia="Arial" w:hAnsi="Arial"/>
          <w:b/>
          <w:bCs/>
          <w:color w:val="444444"/>
          <w:sz w:val="22"/>
          <w:szCs w:val="22"/>
        </w:rPr>
        <w:t xml:space="preserve">Layer 4 — Balance Reconciliation</w:t>
      </w:r>
    </w:p>
    <w:p>
      <w:pPr>
        <w:spacing w:after="80" w:before="80"/>
      </w:pPr>
      <w:r>
        <w:rPr>
          <w:rFonts w:ascii="Arial" w:cs="Arial" w:eastAsia="Arial" w:hAnsi="Arial"/>
          <w:sz w:val="22"/>
          <w:szCs w:val="22"/>
        </w:rPr>
        <w:t xml:space="preserve">Verified BalanceSnapshot records act as checksums over the transaction set. Implementations must verify that the previous verified balance plus the sum of intervening transactions equals the next verified balance. A mismatch indicates a duplicated or missing transaction within the interval and raises a SyncConflict flagging the interval for review. This backstop catches errors that pass the first three layers, including duplicates from sources whose timestamps are precise only to the day.</w:t>
      </w:r>
    </w:p>
    <w:p>
      <w:pPr>
        <w:spacing w:after="0" w:before="80"/>
      </w:pPr>
      <w:r>
        <w:t xml:space="preserve"/>
      </w:r>
    </w:p>
    <w:p>
      <w:pPr>
        <w:pStyle w:val="Heading2"/>
        <w:spacing w:after="160" w:before="320"/>
      </w:pPr>
      <w:r>
        <w:rPr>
          <w:rFonts w:ascii="Arial" w:cs="Arial" w:eastAsia="Arial" w:hAnsi="Arial"/>
          <w:b/>
          <w:bCs/>
          <w:color w:val="2E75B6"/>
          <w:sz w:val="26"/>
          <w:szCs w:val="26"/>
        </w:rPr>
        <w:t xml:space="preserve">2.6 Sourced Facts and Annotations</w:t>
      </w:r>
    </w:p>
    <w:p>
      <w:pPr>
        <w:spacing w:after="80" w:before="80"/>
      </w:pPr>
      <w:r>
        <w:rPr>
          <w:rFonts w:ascii="Arial" w:cs="Arial" w:eastAsia="Arial" w:hAnsi="Arial"/>
          <w:sz w:val="22"/>
          <w:szCs w:val="22"/>
        </w:rPr>
        <w:t xml:space="preserve">Record fields divide into two classes with different authority models. Provenance governs what happened; the consumer owns what it means.</w:t>
      </w:r>
    </w:p>
    <w:p>
      <w:pPr>
        <w:spacing w:after="80" w:before="80"/>
      </w:pPr>
      <w:r>
        <w:rPr>
          <w:rFonts w:ascii="Arial" w:cs="Arial" w:eastAsia="Arial" w:hAnsi="Arial"/>
          <w:b/>
          <w:bCs/>
          <w:sz w:val="22"/>
          <w:szCs w:val="22"/>
        </w:rPr>
        <w:t xml:space="preserve">Sourced facts — </w:t>
      </w:r>
      <w:r>
        <w:rPr>
          <w:rFonts w:ascii="Arial" w:cs="Arial" w:eastAsia="Arial" w:hAnsi="Arial"/>
          <w:sz w:val="22"/>
          <w:szCs w:val="22"/>
        </w:rPr>
        <w:t xml:space="preserve">amount, date, time, status, asset, fees — describe what happened. The institution is authoritative, and conflicts are governed by the provenance hierarchy and Rules 1 through 3.</w:t>
      </w:r>
    </w:p>
    <w:p>
      <w:pPr>
        <w:spacing w:after="80" w:before="80"/>
      </w:pPr>
      <w:r>
        <w:rPr>
          <w:rFonts w:ascii="Arial" w:cs="Arial" w:eastAsia="Arial" w:hAnsi="Arial"/>
          <w:b/>
          <w:bCs/>
          <w:sz w:val="22"/>
          <w:szCs w:val="22"/>
        </w:rPr>
        <w:t xml:space="preserve">Annotations — </w:t>
      </w:r>
      <w:r>
        <w:rPr>
          <w:rFonts w:ascii="Arial" w:cs="Arial" w:eastAsia="Arial" w:hAnsi="Arial"/>
          <w:sz w:val="22"/>
          <w:szCs w:val="22"/>
        </w:rPr>
        <w:t xml:space="preserve">category, vendor assignment, name corrections, notes, transfer designation — represent the consumer’s interpretation of their own financial life. The consumer is authoritative. Annotations exit conflict resolution entirely: a sync never supersedes an edited annotation, regardless of source rank.</w:t>
      </w:r>
    </w:p>
    <w:p>
      <w:pPr>
        <w:spacing w:after="80" w:before="80"/>
      </w:pPr>
      <w:r>
        <w:rPr>
          <w:rFonts w:ascii="Arial" w:cs="Arial" w:eastAsia="Arial" w:hAnsi="Arial"/>
          <w:sz w:val="22"/>
          <w:szCs w:val="22"/>
        </w:rPr>
        <w:t xml:space="preserve">The user_entered source (rank 12) applies only to records the user creates from nothing. A user edit to an externally sourced record does not change the record’s provenance. Edits to annotations are pinned permanently. An edit to a sourced fact sets overridden_by_user on the record; a subsequent sync from a higher-ranked source then escalates under Rule 2 — presenting the institution’s value and the user’s value side by side — instead of silently superseding either.</w:t>
      </w:r>
    </w:p>
    <w:p>
      <w:r>
        <w:br w:type="page"/>
      </w:r>
    </w:p>
    <w:p>
      <w:pPr>
        <w:pStyle w:val="Heading1"/>
        <w:pBdr>
          <w:bottom w:val="single" w:color="2E75B6" w:sz="6" w:space="4"/>
        </w:pBdr>
        <w:spacing w:after="200" w:before="400"/>
      </w:pPr>
      <w:r>
        <w:rPr>
          <w:rFonts w:ascii="Arial" w:cs="Arial" w:eastAsia="Arial" w:hAnsi="Arial"/>
          <w:b/>
          <w:bCs/>
          <w:color w:val="1B4F8A"/>
          <w:sz w:val="32"/>
          <w:szCs w:val="32"/>
        </w:rPr>
        <w:t xml:space="preserve">3. Core Data Schema</w:t>
      </w:r>
    </w:p>
    <w:p>
      <w:pPr>
        <w:spacing w:after="80" w:before="80"/>
      </w:pPr>
      <w:r>
        <w:rPr>
          <w:rFonts w:ascii="Arial" w:cs="Arial" w:eastAsia="Arial" w:hAnsi="Arial"/>
          <w:sz w:val="22"/>
          <w:szCs w:val="22"/>
        </w:rPr>
        <w:t xml:space="preserve">This section defines all data entities in the OFDP core protocol. Extension modules are defined in Section 6. All entities that contain externally sourced data extend ProvenanceBase as defined in Section 2.1.</w:t>
      </w:r>
    </w:p>
    <w:p>
      <w:pPr>
        <w:spacing w:after="0" w:before="160"/>
      </w:pPr>
      <w:r>
        <w:t xml:space="preserve"/>
      </w:r>
    </w:p>
    <w:p>
      <w:pPr>
        <w:pStyle w:val="Heading2"/>
        <w:spacing w:after="160" w:before="320"/>
      </w:pPr>
      <w:r>
        <w:rPr>
          <w:rFonts w:ascii="Arial" w:cs="Arial" w:eastAsia="Arial" w:hAnsi="Arial"/>
          <w:b/>
          <w:bCs/>
          <w:color w:val="2E75B6"/>
          <w:sz w:val="26"/>
          <w:szCs w:val="26"/>
        </w:rPr>
        <w:t xml:space="preserve">3.1 Identity and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User</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type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human / institution / system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Display name.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email</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Contact email. Nullable for institution and system users.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institution_id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Institution.id?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If type is institution, references the Institution record.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is_active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Whether this user account is active.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Role</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name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consumer / family / advisor / admin / superadmin / developer / institutional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Human-readable description of this role's capabilities.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Permission</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resource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account / transaction / transaction_item / vendor / balance / interest_rate / holding / asset / category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action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read / write / delete / export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description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Human-readable description of this permission.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RolePermission</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role_id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Role.id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The role this permission belongs to.</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permission_id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Permission.id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The permission granted to this role.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UserRole</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user_id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User.id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The user holding this role.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role_id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Role.id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The role being assigned.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granted_by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User.id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User who granted this role.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granted_date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When the role was granted.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expiry_date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the role expires. Null for permanent roles.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UserAccountAccess</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user_id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User.id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User being granted access.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account_id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Account.id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Account being accessed.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role_id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Role.id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Which role applies to this specific account relationship.</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granted_by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User.id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User (typically account owner) who granted access.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granted_date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access was granted.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expiry_date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When access expires. Null for permanent access.</w:t>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3.2 Trust and Certificates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Certificate</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user_id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User.id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The institution being certified.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issued_by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User.id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The CA or trusted issuer that issued this certificate.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public_key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Institution's public key for signature verification.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issued_date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the certificate was issued.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expiry_date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When the certificate expires.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revoked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Whether this certificate has been revoked.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revoked_date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When revocation occurred. Null if not revoked.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revocation_reason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Reason for revocation. Null if not revoked.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TrustedIssuer</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user_id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User.id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The entity acting as certificate authority.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trust_level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root / intermediate / self_signed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added_by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User.id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Who added this issuer to the trust store.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added_date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this issuer was added.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ConnectionRequest</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requesting_user_id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User.id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Institution or third party requesting data access.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target_user_id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User.id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Consumer whose data is being requested.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certificate_id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Certificate.id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Certificate proving requester identity.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pending / approved / denied / revoked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requested_date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When the request was submitted.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resolved_date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the request was approved or denied.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requested_permissions[]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Permission.id[]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Array of permissions the requester is asking for.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granted_permissions[]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Permission.id[]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Array of permissions actually granted. May differ from requested.</w:t>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3.3 Institutions</w:t>
      </w:r>
    </w:p>
    <w:p>
      <w:pPr>
        <w:spacing w:after="80" w:before="80"/>
      </w:pPr>
      <w:r>
        <w:rPr>
          <w:rFonts w:ascii="Arial" w:cs="Arial" w:eastAsia="Arial" w:hAnsi="Arial"/>
          <w:sz w:val="22"/>
          <w:szCs w:val="22"/>
        </w:rPr>
        <w:t xml:space="preserve">Institution records are self-referencing to model the real-world complexity of financial services, where consumer-facing brands, legal entities, and back-end servicers are often different organizations.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Institution</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name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Consumer-facing brand name (e.g. "Chime").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legal_entity_id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Institution.id?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The regulated legal entity behind this brand. Null if this record is the legal entity.</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servicer_id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Institution.id?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The back-end processor that handles transactions. Null if institution self-services.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type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bank / credit_union / fintech / servicer / brokerage / crypto_exchange / self_custody</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routing_number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US ACH routing number. Null for non-US or non-depository institutions.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swift_code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SWIFT/BIC code for international institutions.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fdx_certified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Whether this institution holds current FDX certification.</w:t>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3.4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Account</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institution_id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Institution.id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Institution that holds this account.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account_number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Institution-assigned account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display_balance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Computed total value of all holdings denominated in display_unit.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display_unit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Asset.id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Asset in which balance is displayed. Typically USD.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date_opened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When the account was opened.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date_closed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the account was closed. Null for open accounts.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type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checking / savings / credit_card / investment / mortgage / student_loan / escrow / crypto</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AccountOwner</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account_id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Account.id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The account being owned.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user_id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User.id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The user who owns this account.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ownership_type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primary / joint / beneficiary / custodial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AccountHolding</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account_id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Account.id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The account holding this asset.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asset_id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Asset.id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The asset being held.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quantity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Amount of the asset held.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acquired_date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this holding was acquired. Used for cost basis and holding period.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cost_basis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Total amount paid for this holding. Used for tax calculations.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All AccountHolding records extend ProvenanceBase.</w:t>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3.5 Assets</w:t>
      </w:r>
    </w:p>
    <w:p>
      <w:pPr>
        <w:spacing w:after="80" w:before="80"/>
      </w:pPr>
      <w:r>
        <w:rPr>
          <w:rFonts w:ascii="Arial" w:cs="Arial" w:eastAsia="Arial" w:hAnsi="Arial"/>
          <w:sz w:val="22"/>
          <w:szCs w:val="22"/>
        </w:rPr>
        <w:t xml:space="preserve">All tradeable instruments — fiat currency, cryptocurrency, stocks, bonds, ETFs, and commodities — are represented as Asset records. This unified model allows account balances, transactions, and holdings to reference any instrument through a single field.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Asset</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symbol</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Ticker or currency code. e.g. USD, BTC, AAPL.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Full name. e.g. "US Dollar", "Bitcoin", "Apple Inc."</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type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fiat / crypto / stock / bond / etf / commodity / other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decimals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Number of decimal places. USD=2, BTC=8, some crypto=18.</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AssetPrice</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asset_id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Asset.id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The asset being priced.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price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Price of one unit of the asset.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denominated_in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Asset.id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Asset used to express the price. Usually USD.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this price was recorded.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source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exchange / manual / feed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All AssetPrice records extend ProvenanceBase.</w:t>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3.6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Transaction</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account_id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Account.id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Account this transaction belongs to.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external_id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Institution-assigned identifier (FDX transactionId, OFX FITID). Authoritative deduplication key when present (Section 2.5). Unique per account and source. Null only for sources with no stable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date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Date the transaction occurred or posted.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time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time?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Time of transaction. Null if not provided by institution.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name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Short transaction name as provided by institution.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Full transaction description.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vendor_id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Vendor.id?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Resolved vendor record. Null if not matched.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asset_id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Asset.id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Asset transferred in this transaction.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amount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Amount transferred in units of asset_id. Always non-negative — direction is carried by debit_credit.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display_amount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Amount converted to account's display_unit. Computed.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debit_credit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debit / credit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pending / posted / reversed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fee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Network or service fee. Null if no fee.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fee_asset_id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Asset.id?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Asset the fee is denominated in. May differ from transaction asset.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is_transfer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Whether this transaction is a transfer between owned accounts.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transfer_account_id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Account.id?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Destination or source account for transfers.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is_itemized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Whether TransactionItem records exist for this transaction.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category_id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Category.id?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Category assignment. Ignored if is_itemized is true.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derived_category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Category.id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Computed from items if itemized, otherwise equals category_id. Read-only.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is_refund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Whether this transaction is a refund.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is_disputed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Whether this transaction is under dispute.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dispute_begin_date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the dispute was opened.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dispute_status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opened / under_review / resolved / denied. Null if not disputed.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dispute_resolved_date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the dispute was resolved.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recurring_cost_id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RecurringCost.id?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Links to recurring cost pattern if applicable.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All Transaction records extend ProvenanceBase.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TransactionItem</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transaction_id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Transaction.id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Parent transaction.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Item name.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qty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Quantity purchased.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qty_units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Unit of measure. e.g. "lbs", "oz", "each". Null for unitless items.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price_per_unit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Price per unit of qty_units.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amount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Total amount for this line item. Stored explicitly — may differ from qty * price_per_unit due to rounding or discounts.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sku</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Stock keeping unit. Null if vendor does not provide.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category_id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Category.id?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Category for this specific item. Null if unknown.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All TransactionItem records extend ProvenanceBase.</w:t>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3.7 Vendors</w:t>
      </w:r>
    </w:p>
    <w:p>
      <w:pPr>
        <w:spacing w:after="80" w:before="80"/>
      </w:pPr>
      <w:r>
        <w:rPr>
          <w:rFonts w:ascii="Arial" w:cs="Arial" w:eastAsia="Arial" w:hAnsi="Arial"/>
          <w:sz w:val="22"/>
          <w:szCs w:val="22"/>
        </w:rPr>
        <w:t xml:space="preserve">Each physical merchant location is a separate Vendor record, matching how payment processors register merchants via MID. Online merchants have a single record. The self-referencing parent_vendor_id enables chain relationships.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Vendor</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parent_vendor_id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Vendor.id?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Parent chain or brand record. Null for parent records.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Normalized name. e.g. "Walmart" not "WAL-MART #4821".</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display_name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Consumer-friendly name.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Business description.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mcc</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Merchant Category Code (4 digits). Maps to category taxonomy. Null for payees outside card networks — ACH payees, individuals, user-created vendors.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category_id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Category.id?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Default category derived from MCC. Null when no MCC exists.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address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Street address. Null for online-only vendors.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city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City.</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state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State or province.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postal_code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Postal or ZIP code.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country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ISO 3166-1 alpha-2 country code.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phone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Contact phone number.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website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Website URL.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logo_url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URL of vendor logo image.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is_online_only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Whether this vendor operates without physical locations.</w:t>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3.8 Categories</w:t>
      </w:r>
    </w:p>
    <w:p>
      <w:pPr>
        <w:spacing w:after="80" w:before="80"/>
      </w:pPr>
      <w:r>
        <w:rPr>
          <w:rFonts w:ascii="Arial" w:cs="Arial" w:eastAsia="Arial" w:hAnsi="Arial"/>
          <w:sz w:val="22"/>
          <w:szCs w:val="22"/>
        </w:rPr>
        <w:t xml:space="preserve">A hierarchical taxonomy for classifying transactions and items. Standard categories are defined by the protocol. Users may apply custom labels without affecting interoperability.</w:t>
      </w:r>
    </w:p>
    <w:p>
      <w:pPr>
        <w:spacing w:after="80" w:before="80"/>
      </w:pPr>
      <w:r>
        <w:rPr>
          <w:rFonts w:ascii="Arial" w:cs="Arial" w:eastAsia="Arial" w:hAnsi="Arial"/>
          <w:sz w:val="22"/>
          <w:szCs w:val="22"/>
        </w:rPr>
        <w:t xml:space="preserve">The standard taxonomy is published as a versioned, machine-readable artifact alongside this specification — a list of category slugs plus a canonical mapping table from Merchant Category Codes (ISO 18245) to category slugs — rather than as specification prose. Implementations resolve default categories through the mapping table and must not invent slugs.</w:t>
      </w:r>
    </w:p>
    <w:p>
      <w:pPr>
        <w:spacing w:after="80" w:before="80"/>
      </w:pPr>
      <w:r>
        <w:rPr>
          <w:rFonts w:ascii="Arial" w:cs="Arial" w:eastAsia="Arial" w:hAnsi="Arial"/>
          <w:sz w:val="22"/>
          <w:szCs w:val="22"/>
        </w:rPr>
        <w:t xml:space="preserve">MCC categorizes the vendor, not the purchase — a television bought at a grocery-coded retailer still inherits the grocery default. Vendor.category_id derived from MCC provides the default; Transaction.category_id overrides it; TransactionItem.category_id provides line-item precision where receipts are itemized. Category assignments are annotations under Section 2.6 and are never overwritten by a sync.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Category</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standard_category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Protocol-defined category value. Enforced across all implementations.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custom_label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User-defined display name. Overrides standard_category in the UI only.</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parent_category_id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Category.id?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Parent category for hierarchical taxonomy. Null for top-level categories.</w:t>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3.9 Balance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BalanceSnapshot</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account_id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Account.id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Account this snapshot belongs to.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balance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Balance value in display_unit.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asset_id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Asset.id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Asset in which balance is denominated.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this balance was recorded.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snapshot_type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transaction / scheduled / end_of_day / statement / manual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transaction_id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Transaction.id?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Associated transaction if snapshot_type is transaction.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is_verified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Whether this balance was confirmed by the institution.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All BalanceSnapshot records extend ProvenanceBase.</w:t>
            </w:r>
          </w:p>
        </w:tc>
      </w:tr>
    </w:tbl>
    <w:p>
      <w:pPr>
        <w:spacing w:after="80" w:before="160"/>
      </w:pPr>
      <w:r>
        <w:rPr>
          <w:rFonts w:ascii="Arial" w:cs="Arial" w:eastAsia="Arial" w:hAnsi="Arial"/>
          <w:sz w:val="22"/>
          <w:szCs w:val="22"/>
        </w:rPr>
        <w:t xml:space="preserve">Verified snapshots double as reconciliation checkpoints. Implementations must verify that the previous verified balance plus the sum of intervening transactions equals each new verified balance, and raise a SyncConflict covering the interval on mismatch (Section 2.5, Layer 4). This makes balance history a checksum over the transaction set rather than a passive record.</w:t>
      </w:r>
    </w:p>
    <w:p>
      <w:pPr>
        <w:spacing w:after="0" w:before="160"/>
      </w:pPr>
      <w:r>
        <w:t xml:space="preserve"/>
      </w:r>
    </w:p>
    <w:p>
      <w:pPr>
        <w:pStyle w:val="Heading2"/>
        <w:spacing w:after="160" w:before="320"/>
      </w:pPr>
      <w:r>
        <w:rPr>
          <w:rFonts w:ascii="Arial" w:cs="Arial" w:eastAsia="Arial" w:hAnsi="Arial"/>
          <w:b/>
          <w:bCs/>
          <w:color w:val="2E75B6"/>
          <w:sz w:val="26"/>
          <w:szCs w:val="26"/>
        </w:rPr>
        <w:t xml:space="preserve">3.10 Interest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InterestRate</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account_id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Account.id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Account this rate applies to.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rate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Annual percentage rate.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rate_type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fixed / variable / promotional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compounding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daily / monthly / annual</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effective_date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When this rate took effect.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end_date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this rate expires. Null for ongoing rates.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applied_to</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balance / purchases / cash_advances / transfers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All InterestRate records extend ProvenanceBase.</w:t>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3.11 Recurring Costs</w:t>
      </w:r>
    </w:p>
    <w:p>
      <w:pPr>
        <w:spacing w:after="80" w:before="80"/>
      </w:pPr>
      <w:r>
        <w:rPr>
          <w:rFonts w:ascii="Arial" w:cs="Arial" w:eastAsia="Arial" w:hAnsi="Arial"/>
          <w:sz w:val="22"/>
          <w:szCs w:val="22"/>
        </w:rPr>
        <w:t xml:space="preserve">RecurringCost defines expected future payment patterns. Individual payments link back to their RecurringCost via Transaction.recurring_cost_id, enabling detection of missed or late payments.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RecurringCost</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account_id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Account.id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Account this cost is charged to.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cost_type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subscription / insurance / tax / utility / loan_payment / hoa / other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name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Descriptive name for this cost.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vendor_id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Vendor.id?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Associated vendor if applicable.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expected_amount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Expected payment amount.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asset_id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Asset.id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Asset the cost is denominated in.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frequency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weekly / monthly / quarterly / annual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next_due_date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Next expected payment date.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last_paid_date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Most recent payment date.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is_escrow_paid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Whether this cost is paid through escrow.</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is_active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Whether this recurring cost is currently active.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All RecurringCost records extend ProvenanceBase.</w:t>
            </w:r>
          </w:p>
        </w:tc>
      </w:tr>
    </w:tbl>
    <w:p>
      <w:r>
        <w:br w:type="page"/>
      </w:r>
    </w:p>
    <w:p>
      <w:pPr>
        <w:pStyle w:val="Heading1"/>
        <w:pBdr>
          <w:bottom w:val="single" w:color="2E75B6" w:sz="6" w:space="4"/>
        </w:pBdr>
        <w:spacing w:after="200" w:before="400"/>
      </w:pPr>
      <w:r>
        <w:rPr>
          <w:rFonts w:ascii="Arial" w:cs="Arial" w:eastAsia="Arial" w:hAnsi="Arial"/>
          <w:b/>
          <w:bCs/>
          <w:color w:val="1B4F8A"/>
          <w:sz w:val="32"/>
          <w:szCs w:val="32"/>
        </w:rPr>
        <w:t xml:space="preserve">4. Federation Model</w:t>
      </w:r>
    </w:p>
    <w:p>
      <w:pPr>
        <w:spacing w:after="80" w:before="80"/>
      </w:pPr>
      <w:r>
        <w:rPr>
          <w:rFonts w:ascii="Arial" w:cs="Arial" w:eastAsia="Arial" w:hAnsi="Arial"/>
          <w:sz w:val="22"/>
          <w:szCs w:val="22"/>
        </w:rPr>
        <w:t xml:space="preserve">OFDP is a federated protocol. Any individual or institution may run an OFDP instance. Instances discover each other through the OFDP Registry, establish trust through certificates and ConnectionRequests, and exchange data through a pull-based sync mechanism.</w:t>
      </w:r>
    </w:p>
    <w:p>
      <w:pPr>
        <w:spacing w:after="0" w:before="160"/>
      </w:pPr>
      <w:r>
        <w:t xml:space="preserve"/>
      </w:r>
    </w:p>
    <w:p>
      <w:pPr>
        <w:pStyle w:val="Heading2"/>
        <w:spacing w:after="160" w:before="320"/>
      </w:pPr>
      <w:r>
        <w:rPr>
          <w:rFonts w:ascii="Arial" w:cs="Arial" w:eastAsia="Arial" w:hAnsi="Arial"/>
          <w:b/>
          <w:bCs/>
          <w:color w:val="2E75B6"/>
          <w:sz w:val="26"/>
          <w:szCs w:val="26"/>
        </w:rPr>
        <w:t xml:space="preserve">4.1 Protocol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ProtocolInstance</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Protocol-assigned 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owner_user_id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User.id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User who owns and administers this instance.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environment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production / sandbox — sandbox mode masks all sensitive fields regardless of permissions.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created_date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When this instance was created.</w:t>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4.2 Registry</w:t>
      </w:r>
    </w:p>
    <w:p>
      <w:pPr>
        <w:spacing w:after="80" w:before="80"/>
      </w:pPr>
      <w:r>
        <w:rPr>
          <w:rFonts w:ascii="Arial" w:cs="Arial" w:eastAsia="Arial" w:hAnsi="Arial"/>
          <w:sz w:val="22"/>
          <w:szCs w:val="22"/>
        </w:rPr>
        <w:t xml:space="preserve">The OFDP Registry is the authoritative directory of institutions participating in the protocol. It is maintained by the OFDP foundation as a single append-only, hash-chained ledger. The hash-chain design ensures tamper-evidence and supports migration to a distributed consensus model in a future protocol version without changing the data format.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0E0" w:val="clear"/>
            <w:tcMar>
              <w:top w:type="dxa" w:w="120"/>
              <w:left w:type="dxa" w:w="200"/>
              <w:bottom w:type="dxa" w:w="120"/>
              <w:right w:type="dxa" w:w="200"/>
            </w:tcMar>
          </w:tcPr>
          <w:p>
            <w:pPr>
              <w:spacing w:after="60" w:before="0"/>
            </w:pPr>
            <w:r>
              <w:rPr>
                <w:rFonts w:ascii="Arial" w:cs="Arial" w:eastAsia="Arial" w:hAnsi="Arial"/>
                <w:b/>
                <w:bCs/>
                <w:color w:val="1E7A3C"/>
                <w:sz w:val="22"/>
                <w:szCs w:val="22"/>
              </w:rPr>
              <w:t xml:space="preserve">Append-Only Design</w:t>
            </w:r>
          </w:p>
          <w:p>
            <w:pPr>
              <w:spacing w:after="0" w:before="0"/>
            </w:pPr>
            <w:r>
              <w:rPr>
                <w:rFonts w:ascii="Arial" w:cs="Arial" w:eastAsia="Arial" w:hAnsi="Arial"/>
                <w:color w:val="444444"/>
                <w:sz w:val="20"/>
                <w:szCs w:val="20"/>
              </w:rPr>
              <w:t xml:space="preserve">The registry never deletes or modifies records. Every change — registration, endpoint update, suspension, reinstatement — creates a new RegistryEntry. Each entry includes a cryptographic hash of the previous entry. Any tampering with historical records is detectable by any instance that validates the chain.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RegistryGenesis</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created_date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When the registry was initialized.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protocol_version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OFDP version at genesis.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foundation_public_key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OFDP foundation public key for verifying registry signatures.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genesis_hash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Hash of the initial registry state. All subsequent entries chain to this.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RegistryEntry</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sequence_number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integer</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Monotonically increasing. Gaps indicate tampering.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previous_hash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Hash of the previous RegistryEntry. Null for entry 1.</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entry_hash</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Hash of this entry's contents.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entry_type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registration / update / suspension / reinstatement / revocation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institution_id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Institution.id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Institution this entry pertains to.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endpoint_url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URL of institution's OFDP API endpoint.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public_key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Institution's current public key.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protocol_version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Highest OFDP version this endpoint supports.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supported_extensions[]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Optional extension modules implemented by this institution.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active / suspended / deprecated / revoked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submitted_by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User.id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User who submitted this entry.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submitted_date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this entry was submitted.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effective_date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When this entry takes effect.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signature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Cryptographic signature by submitting institution proving key ownership.</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All RegistryEntry records extend ProvenanceBase.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RegistryIndex</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registry_entry_id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RegistryEntry.id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The registry entry this index record reflects.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institution_name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Searchable institution name.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routing_number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For US bank lookup.</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swift_code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For international lookup.</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institution_type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Institution type for filtering.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country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ISO country code.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fdx_certified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Current FDX certification status.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last_indexed_date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this index record was last updated.</w:t>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4.3 Sync</w:t>
      </w:r>
    </w:p>
    <w:p>
      <w:pPr>
        <w:spacing w:after="80" w:before="80"/>
      </w:pPr>
      <w:r>
        <w:rPr>
          <w:rFonts w:ascii="Arial" w:cs="Arial" w:eastAsia="Arial" w:hAnsi="Arial"/>
          <w:sz w:val="22"/>
          <w:szCs w:val="22"/>
        </w:rPr>
        <w:t xml:space="preserve">Consumer instances pull data from institutional instances. Institutions never push data to consumer instances without an explicit request. Sync state is tracked per account per resource type using cursors, enabling incremental updates without re-fetching historical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SyncJob</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protocol_instance_id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ProtocolInstance.id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Consumer instance running this job.</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institution_id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Institution.id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Institution being synced.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connection_request_id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ConnectionRequest.id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Authorization for this sync.</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pending / running / completed / failed / partial</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triggered_by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scheduled / manual / webhook</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started_date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the job started.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completed_date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When the job finished. Null if still running.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records_requested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How many records were requested.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records_received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integer</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How many records were received.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records_rejected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How many records were rejected due to validation or conflict.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error_message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Error details if status is failed.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All SyncJob records extend ProvenanceBase.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SyncCursor</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protocol_instance_id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ProtocolInstance.id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Consumer instance this cursor belongs to.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institution_id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Institution.id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Institution this cursor tracks.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account_id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Account.id?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Account this cursor tracks. Null for instance-level cursors.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resource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transaction / balance / interest_rate / holding / recurring_cost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last_sync_date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When the last successful sync completed.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last_sync_id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Institution's identifier for the last record received.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next_page_token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Pagination token for resuming interrupted syncs.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SyncConflict</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sync_job_id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SyncJob.id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The sync job that produced this conflict.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resource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Resource type where conflict was detected.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local_record_id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ID of the existing local record.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incoming_data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json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Snapshot of the conflicting incoming data.</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conflict_type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amount_mismatch / date_mismatch / missing_local / missing_remote / status_change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local_source_rank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Provenance rank of local record (1-12).</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incoming_source_rank</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integer</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Provenance rank of incoming record (1-12).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resolution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pending / accepted_remote / kept_local / merged / escalated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resolution_rule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rule_1 / rule_2 / rule_3 — which conflict rule applied.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resolved_by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system / user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resolver_user_id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User.id?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If resolved by user, which user.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resolved_date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the conflict was resolved.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All SyncConflict records extend ProvenanceBase.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WebhookSubscription</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protocol_instance_id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ProtocolInstance.id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Consumer instance receiving notifications.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institution_id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Institution.id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Institution sending notifications.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connection_request_id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ConnectionRequest.id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Authorization for this subscription.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endpoint_url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URL the institution sends notifications to.</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event_types[]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new_transaction / balance_change / status_change / rate_change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secret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Shared secret for verifying webhook authenticity.</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is_active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Whether this subscription is active.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Webhooks are an optional extension. Institutions are not required to implement them.</w:t>
            </w:r>
          </w:p>
        </w:tc>
      </w:tr>
    </w:tbl>
    <w:p>
      <w:r>
        <w:br w:type="page"/>
      </w:r>
    </w:p>
    <w:p>
      <w:pPr>
        <w:pStyle w:val="Heading1"/>
        <w:pBdr>
          <w:bottom w:val="single" w:color="2E75B6" w:sz="6" w:space="4"/>
        </w:pBdr>
        <w:spacing w:after="200" w:before="400"/>
      </w:pPr>
      <w:r>
        <w:rPr>
          <w:rFonts w:ascii="Arial" w:cs="Arial" w:eastAsia="Arial" w:hAnsi="Arial"/>
          <w:b/>
          <w:bCs/>
          <w:color w:val="1B4F8A"/>
          <w:sz w:val="32"/>
          <w:szCs w:val="32"/>
        </w:rPr>
        <w:t xml:space="preserve">5. API Specification</w:t>
      </w:r>
    </w:p>
    <w:p>
      <w:pPr>
        <w:spacing w:after="80" w:before="80"/>
      </w:pPr>
      <w:r>
        <w:rPr>
          <w:rFonts w:ascii="Arial" w:cs="Arial" w:eastAsia="Arial" w:hAnsi="Arial"/>
          <w:sz w:val="22"/>
          <w:szCs w:val="22"/>
        </w:rPr>
        <w:t xml:space="preserve">Every compliant OFDP implementation must expose the endpoints defined in this section. Optional extension endpoints are clearly marked. The core protocol uses REST with JSON. GraphQL is available as an optional extension for advanced consumers and AI interfaces.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60" w:before="0"/>
            </w:pPr>
            <w:r>
              <w:rPr>
                <w:rFonts w:ascii="Arial" w:cs="Arial" w:eastAsia="Arial" w:hAnsi="Arial"/>
                <w:b/>
                <w:bCs/>
                <w:color w:val="1B4F8A"/>
                <w:sz w:val="22"/>
                <w:szCs w:val="22"/>
              </w:rPr>
              <w:t xml:space="preserve">Protocol-Wide Requirements</w:t>
            </w:r>
          </w:p>
          <w:p>
            <w:pPr>
              <w:spacing w:after="0" w:before="0"/>
            </w:pPr>
            <w:r>
              <w:rPr>
                <w:rFonts w:ascii="Arial" w:cs="Arial" w:eastAsia="Arial" w:hAnsi="Arial"/>
                <w:color w:val="444444"/>
                <w:sz w:val="20"/>
                <w:szCs w:val="20"/>
              </w:rPr>
              <w:t xml:space="preserve">Every request must include Protocol-Version in headers. Every response must include provenance metadata and a cryptographic signature from the responding institution. Institutions may support multiple protocol versions simultaneously during transition periods.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Required request headers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Protocol-Version: 1.0</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Authorization: Bearer &lt;session_token&gt;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 Required response headers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X-Provenance-Source: institution_api</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X-Provenance-Verified: true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X-Retrieval-Timestamp: 2026-05-20T14:23:00Z</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A8D8A8"/>
                <w:sz w:val="18"/>
                <w:szCs w:val="18"/>
              </w:rPr>
              <w:t xml:space="preserve">X-Protocol-Signature: &lt;cryptographic_signature&gt;</w:t>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5.1 Registry Endpoints</w:t>
      </w:r>
    </w:p>
    <w:p>
      <w:pPr>
        <w:spacing w:after="80" w:before="80"/>
      </w:pPr>
      <w:r>
        <w:rPr>
          <w:rFonts w:ascii="Arial" w:cs="Arial" w:eastAsia="Arial" w:hAnsi="Arial"/>
          <w:sz w:val="22"/>
          <w:szCs w:val="22"/>
        </w:rPr>
        <w:t xml:space="preserve">Hosted by the OFDP foundation. Consumer instances use these to discover institutions.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/registry/institutions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Search institutions. Query params: name, routing_number, swift_code, type, country.</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/registry/institutions/:id</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Get full details for a single institution.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/registry/institutions/:id/verify</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Validate hash chain for this institution's registry records.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B4F8A"/>
                <w:sz w:val="18"/>
                <w:szCs w:val="18"/>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/registry/institutions</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Submit a registration request. Body: endpoint, public_key, signature.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/registry/validate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Validate full hash chain from genesis to latest entry.</w:t>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5.2 Authentication Endpoints</w:t>
      </w:r>
    </w:p>
    <w:p>
      <w:pPr>
        <w:spacing w:after="80" w:before="80"/>
      </w:pPr>
      <w:r>
        <w:rPr>
          <w:rFonts w:ascii="Arial" w:cs="Arial" w:eastAsia="Arial" w:hAnsi="Arial"/>
          <w:sz w:val="22"/>
          <w:szCs w:val="22"/>
        </w:rPr>
        <w:t xml:space="preserve">Hosted by each institutional instance. Consumer instances call these to establish a trusted connection.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/auth/certificate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Returns institution's current certificate and public key.</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B4F8A"/>
                <w:sz w:val="18"/>
                <w:szCs w:val="18"/>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/auth/connect</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Submit a ConnectionRequest with certificate_id and requested_permissions.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/auth/connect/:id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Check status of a pending ConnectionRequest.</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8B0000"/>
                <w:sz w:val="18"/>
                <w:szCs w:val="18"/>
              </w:rPr>
              <w:t xml:space="preserve">DELETE</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/auth/connect/:id</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Revoke an existing connection.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B4F8A"/>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/auth/token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Exchange certificate signature for a short-lived session token.</w:t>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5.3 Data Endpoints</w:t>
      </w:r>
    </w:p>
    <w:p>
      <w:pPr>
        <w:spacing w:after="80" w:before="80"/>
      </w:pPr>
      <w:r>
        <w:rPr>
          <w:rFonts w:ascii="Arial" w:cs="Arial" w:eastAsia="Arial" w:hAnsi="Arial"/>
          <w:sz w:val="22"/>
          <w:szCs w:val="22"/>
        </w:rPr>
        <w:t xml:space="preserve">Core data endpoints — required for all compliant implementations.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/accounts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List accounts the consumer is authorized to access.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/accounts/:id</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Get a single account with applicable type extension.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/accounts/:id/balances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Get balance history. Query params: from_date, to_date, snapshot_type.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/accounts/:id/transactions</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Get transactions. Query params: from_date, to_date, status, cursor, limit.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/accounts/:id/transactions/:id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Get a single transaction with TransactionItems if itemized.</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/accounts/:id/interest_rates</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Get interest rate history. Query params: effective_date.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/accounts/:id/holdings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Get asset holdings with InvestmentHolding extension if applicable.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/accounts/:id/recurring_costs</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Get recurring cost patterns for this account.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/vendors/:id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Get a single vendor record.</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/vendors</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Search vendors. Query params: name, mcc, city, state.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/categories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Get full category taxonomy tree.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/assets/:id</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Get a single asset record.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/assets/:id/prices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Get price history. Query params: from_date, to_date, denominated_in.</w:t>
            </w:r>
          </w:p>
        </w:tc>
      </w:tr>
    </w:tbl>
    <w:p>
      <w:pPr>
        <w:spacing w:after="0" w:before="120"/>
      </w:pPr>
      <w:r>
        <w:t xml:space="preserve"/>
      </w:r>
    </w:p>
    <w:p>
      <w:pPr>
        <w:spacing w:after="80" w:before="80"/>
      </w:pPr>
      <w:r>
        <w:rPr>
          <w:rFonts w:ascii="Arial" w:cs="Arial" w:eastAsia="Arial" w:hAnsi="Arial"/>
          <w:sz w:val="22"/>
          <w:szCs w:val="22"/>
        </w:rPr>
        <w:t xml:space="preserve">Extension endpoints — required only for institutions supporting the applicable account type.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/accounts/:id/amortization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Amortization schedule. Mortgage accounts only.</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/accounts/:id/disbursements</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Loan disbursements. Student loan accounts only.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/accounts/:id/repayment_agreements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Repayment plan history. Student loan accounts only.</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/accounts/:id/staking</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Staking positions and rewards. Crypto accounts only.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/accounts/:id/realized_gains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Realized gain/loss records. Investment accounts only.</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/accounts/:id/trading_restrictions</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Active trading restrictions. Investment accounts only.</w:t>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5.4 Sync Endpoints</w:t>
      </w:r>
    </w:p>
    <w:p>
      <w:pPr>
        <w:spacing w:after="80" w:before="80"/>
      </w:pPr>
      <w:r>
        <w:rPr>
          <w:rFonts w:ascii="Arial" w:cs="Arial" w:eastAsia="Arial" w:hAnsi="Arial"/>
          <w:sz w:val="22"/>
          <w:szCs w:val="22"/>
        </w:rPr>
        <w:t xml:space="preserve">Hosted on the consumer's own instance. These manage sync state and conflict resolution.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B4F8A"/>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/sync/jobs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Initiate a sync job. Body: SyncRequest with institution_id, resources, cursors.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/sync/jobs/:id</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Get status and progress of a sync job.</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/sync/jobs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List sync job history. Query params: institution_id, status, from_date.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/sync/cursors</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Get sync state. Query params: institution_id, account_id, resource.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7A3C"/>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/sync/conflicts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List conflicts. Query params: sync_job_id, resolution, resource.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B8860B"/>
                <w:sz w:val="18"/>
                <w:szCs w:val="18"/>
              </w:rPr>
              <w:t xml:space="preserve">PUT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2E75B6"/>
                <w:sz w:val="18"/>
                <w:szCs w:val="18"/>
              </w:rPr>
              <w:t xml:space="preserve">/sync/conflicts/:id</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Resolve a conflict. Body: resolution decision.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B4F8A"/>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/sync/webhooks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Subscribe to webhook notifications. Optional — institution must support.</w:t>
            </w:r>
          </w:p>
        </w:tc>
      </w:tr>
    </w:tbl>
    <w:p>
      <w:r>
        <w:br w:type="page"/>
      </w:r>
    </w:p>
    <w:p>
      <w:pPr>
        <w:pStyle w:val="Heading1"/>
        <w:pBdr>
          <w:bottom w:val="single" w:color="2E75B6" w:sz="6" w:space="4"/>
        </w:pBdr>
        <w:spacing w:after="200" w:before="400"/>
      </w:pPr>
      <w:r>
        <w:rPr>
          <w:rFonts w:ascii="Arial" w:cs="Arial" w:eastAsia="Arial" w:hAnsi="Arial"/>
          <w:b/>
          <w:bCs/>
          <w:color w:val="1B4F8A"/>
          <w:sz w:val="32"/>
          <w:szCs w:val="32"/>
        </w:rPr>
        <w:t xml:space="preserve">6. Account Type Extensions</w:t>
      </w:r>
    </w:p>
    <w:p>
      <w:pPr>
        <w:spacing w:after="80" w:before="80"/>
      </w:pPr>
      <w:r>
        <w:rPr>
          <w:rFonts w:ascii="Arial" w:cs="Arial" w:eastAsia="Arial" w:hAnsi="Arial"/>
          <w:sz w:val="22"/>
          <w:szCs w:val="22"/>
        </w:rPr>
        <w:t xml:space="preserve">Each extension is a separate schema that references the base Account record. Institutions implement only the extensions applicable to their account types. No institution is penalized for not implementing an extension.</w:t>
      </w:r>
    </w:p>
    <w:p>
      <w:pPr>
        <w:spacing w:after="0" w:before="160"/>
      </w:pPr>
      <w:r>
        <w:t xml:space="preserve"/>
      </w:r>
    </w:p>
    <w:p>
      <w:pPr>
        <w:pStyle w:val="Heading2"/>
        <w:spacing w:after="160" w:before="320"/>
      </w:pPr>
      <w:r>
        <w:rPr>
          <w:rFonts w:ascii="Arial" w:cs="Arial" w:eastAsia="Arial" w:hAnsi="Arial"/>
          <w:b/>
          <w:bCs/>
          <w:color w:val="2E75B6"/>
          <w:sz w:val="26"/>
          <w:szCs w:val="26"/>
        </w:rPr>
        <w:t xml:space="preserve">6.1 Credit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CreditCardAccount</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account_id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Account.id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Base account record.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credit_limit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Maximum credit available.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payment_due_day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integer</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Day of month payment is due.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minimum_payment_type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fixed / percentage / greater_of</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minimum_payment_value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Amount or percentage depending on minimum_payment_type.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grace_period_days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Days after statement close before interest accrues.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6.2 Mortgage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MortgageAccount</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account_id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Account.id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Base account record.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property_address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Address of the secured property.</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property_value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Estimated or appraised property value. Null until assessed.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property_value_date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Date of most recent valuation.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original_loan_amount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Principal at origination.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escrow_account_id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Account.id?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Linked escrow account for taxes and insurance.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equity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Computed: property_value minus current balance. Read-only.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interest_rate_type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fixed / variable / hybrid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rate_adjustment_cap</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Maximum rate change per adjustment period. Variable and hybrid only.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rate_adjustment_period_months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How often the rate adjusts. Variable and hybrid only.</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AmortizationSchedule</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account_id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Account.id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Mortgage account.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payment_number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Sequential payment number.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payment_date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Scheduled payment date.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payment_amount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Total payment amount.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principal_portion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Portion applied to principal.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interest_portion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Portion applied to interest.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remaining_balance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Principal balance after this payment.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6.3 Student Loan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StudentLoanAccount</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account_id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Account.id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Base account record.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is_federal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Whether this is a federal loan.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guarantor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Loan guarantor or servicer name.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loan_program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direct_subsidized / direct_unsubsidized / plus / perkins / private / other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repayment_plan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standard / graduated / extended / income_driven / deferment / forbearance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income_driven_plan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save / paye / ibr / icr. Null if not income-driven.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payment_amount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Current payment amount.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payment_due_day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Day of month payment is due.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forgiveness_eligible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Whether account is enrolled in a forgiveness program.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forgiveness_program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Program name. e.g. "PSLF".</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forgiveness_payments_made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integer?</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Qualifying payments completed toward forgiveness.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forgiveness_payments_required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Total qualifying payments required.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origination_date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When the loan originated.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StudentLoanDisbursement</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student_loan_account_id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StudentLoanAccount.id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Parent student loan account.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disbursement_date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this disbursement was made.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original_amount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Amount disbursed.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current_balance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Remaining balance on this disbursement.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interest_rate_id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InterestRate.id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Interest rate for this specific disbursement.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subsidized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Whether the government pays interest while borrower is in school.</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loan_type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subsidized / unsubsidized / plus / other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6.4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InvestmentAccount</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account_id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Account.id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Base account record.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account_subtype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brokerage / ira / roth_ira / 401k / 403b / sep_ira / 529 / hsa / other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tax_advantaged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Whether this account has tax-advantaged status.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contribution_limit_annual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Annual contribution limit. Null for non-tax-advantaged accounts.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contributions_ytd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Year-to-date contributions.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beneficiary_user_id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User.id?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Beneficiary for accounts like 529.</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cost_basis_method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fifo / lifo / specific_identification / average_cost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InvestmentHolding</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account_holding_id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AccountHolding.id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Base holding record.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acquisition_date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this lot was acquired.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cost_basis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Total cost of this lot.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cost_basis_per_unit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Cost per unit for this lot.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holding_period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short_term / long_term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holding_period_date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Date when long_term status is or was achieved.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lot_id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Lot identifier for specific identification cost basis method.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RealizedGainLoss</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account_id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Account.id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Investment account.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asset_id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Asset.id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Asset that was sold.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transaction_id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Transaction.id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The sale transaction.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acquisition_date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the sold lot was acquired.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disposition_date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When the asset was sold.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quantity_sold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Number of units sold.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cost_basis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Original cost of the sold lot.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proceeds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Amount received from the sale.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gain_loss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Computed: proceeds minus cost_basis. Read-only.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holding_period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short_term / long_term</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wash_sale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Whether IRS wash sale rule applies to this transaction.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wash_sale_disallowed_amount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Amount of loss disallowed by wash sale rule.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
            </w:r>
          </w:p>
        </w:tc>
      </w:tr>
    </w:tbl>
    <w:p>
      <w:pPr>
        <w:spacing w:after="0" w:before="160"/>
      </w:pPr>
      <w:r>
        <w:t xml:space="preserve"/>
      </w:r>
    </w:p>
    <w:p>
      <w:pPr>
        <w:pStyle w:val="Heading2"/>
        <w:spacing w:after="160" w:before="320"/>
      </w:pPr>
      <w:r>
        <w:rPr>
          <w:rFonts w:ascii="Arial" w:cs="Arial" w:eastAsia="Arial" w:hAnsi="Arial"/>
          <w:b/>
          <w:bCs/>
          <w:color w:val="2E75B6"/>
          <w:sz w:val="26"/>
          <w:szCs w:val="26"/>
        </w:rPr>
        <w:t xml:space="preserve">6.5 Crypto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CryptoAccount</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account_id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Account.id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Base account record.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wallet_address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Public key — blockchain identifier for this wallet.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blockchain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bitcoin / ethereum / solana / polygon / other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wallet_type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self_custody / exchange_custody / multisig / smart_contract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derivation_path</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HD wallet derivation path for wallets that generate multiple addresses.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BlockchainNetwork</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name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Network name. e.g. "Ethereum Mainnet".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symbol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Native token symbol.</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chain_id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integer?</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Numeric chain ID for EVM-compatible networks.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explorer_url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Block explorer URL for transaction lookup.</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is_testnet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boolean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Whether this is a test network.</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StakingPosition</w:t>
            </w:r>
          </w:p>
        </w:tc>
      </w:tr>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Unique identifier.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account_id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Account.id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Crypto account.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asset_id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Asset.id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Asset being staked.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staked_amount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Amount currently staked.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staking_start_date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When staking began.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unstaking_date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date?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When staking ended. Null if still active.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reward_rate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decimal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Annual percentage yield.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reward_asset_id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Asset.id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Asset rewards are paid in. Usually same as staked asset.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validator_address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Validator node address for proof-of-stake networks.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B4F8A"/>
                <w:sz w:val="18"/>
                <w:szCs w:val="18"/>
              </w:rPr>
              <w:t xml:space="preserve">protocol_name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E7A3C"/>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Staking protocol name. e.g. "Lido", "Coinbase".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B4F8A"/>
                <w:sz w:val="18"/>
                <w:szCs w:val="18"/>
              </w:rPr>
              <w:t xml:space="preserve">+ ProvenanceBase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7A3C"/>
                <w:sz w:val="18"/>
                <w:szCs w:val="18"/>
              </w:rPr>
              <w:t xml:space="preserve"/>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
            </w:r>
          </w:p>
        </w:tc>
      </w:tr>
    </w:tbl>
    <w:p>
      <w:r>
        <w:br w:type="page"/>
      </w:r>
    </w:p>
    <w:p>
      <w:pPr>
        <w:pStyle w:val="Heading1"/>
        <w:pBdr>
          <w:bottom w:val="single" w:color="2E75B6" w:sz="6" w:space="4"/>
        </w:pBdr>
        <w:spacing w:after="200" w:before="400"/>
      </w:pPr>
      <w:r>
        <w:rPr>
          <w:rFonts w:ascii="Arial" w:cs="Arial" w:eastAsia="Arial" w:hAnsi="Arial"/>
          <w:b/>
          <w:bCs/>
          <w:color w:val="1B4F8A"/>
          <w:sz w:val="32"/>
          <w:szCs w:val="32"/>
        </w:rPr>
        <w:t xml:space="preserve">7. Optional Extension Modules</w:t>
      </w:r>
    </w:p>
    <w:p>
      <w:pPr>
        <w:spacing w:after="80" w:before="80"/>
      </w:pPr>
      <w:r>
        <w:rPr>
          <w:rFonts w:ascii="Arial" w:cs="Arial" w:eastAsia="Arial" w:hAnsi="Arial"/>
          <w:sz w:val="22"/>
          <w:szCs w:val="22"/>
        </w:rPr>
        <w:t xml:space="preserve">The following modules are outside the core protocol. Institutions are not required to implement them. Consumer instances may implement them independently of institutional support.</w:t>
      </w:r>
    </w:p>
    <w:p>
      <w:pPr>
        <w:spacing w:after="0" w:before="120"/>
      </w:pPr>
      <w:r>
        <w:t xml:space="preserve"/>
      </w:r>
    </w:p>
    <w:p>
      <w:pPr>
        <w:pStyle w:val="Heading2"/>
        <w:spacing w:after="160" w:before="320"/>
      </w:pPr>
      <w:r>
        <w:rPr>
          <w:rFonts w:ascii="Arial" w:cs="Arial" w:eastAsia="Arial" w:hAnsi="Arial"/>
          <w:b/>
          <w:bCs/>
          <w:color w:val="2E75B6"/>
          <w:sz w:val="26"/>
          <w:szCs w:val="26"/>
        </w:rPr>
        <w:t xml:space="preserve">7.1 Rewards</w:t>
      </w:r>
    </w:p>
    <w:p>
      <w:pPr>
        <w:spacing w:after="80" w:before="80"/>
      </w:pPr>
      <w:r>
        <w:rPr>
          <w:rFonts w:ascii="Arial" w:cs="Arial" w:eastAsia="Arial" w:hAnsi="Arial"/>
          <w:sz w:val="22"/>
          <w:szCs w:val="22"/>
        </w:rPr>
        <w:t xml:space="preserve">Credit card and loyalty reward programs. Not included in core due to the wide variation in program structures across issuers and the commercial sensitivity of reward valuations. Managed as a community-maintained module.</w:t>
      </w:r>
    </w:p>
    <w:p>
      <w:pPr>
        <w:spacing w:after="0" w:before="80"/>
      </w:pPr>
      <w:r>
        <w:t xml:space="preserve"/>
      </w:r>
    </w:p>
    <w:p>
      <w:pPr>
        <w:pStyle w:val="Heading2"/>
        <w:spacing w:after="160" w:before="320"/>
      </w:pPr>
      <w:r>
        <w:rPr>
          <w:rFonts w:ascii="Arial" w:cs="Arial" w:eastAsia="Arial" w:hAnsi="Arial"/>
          <w:b/>
          <w:bCs/>
          <w:color w:val="2E75B6"/>
          <w:sz w:val="26"/>
          <w:szCs w:val="26"/>
        </w:rPr>
        <w:t xml:space="preserve">7.2 NFTs</w:t>
      </w:r>
    </w:p>
    <w:p>
      <w:pPr>
        <w:spacing w:after="80" w:before="80"/>
      </w:pPr>
      <w:r>
        <w:rPr>
          <w:rFonts w:ascii="Arial" w:cs="Arial" w:eastAsia="Arial" w:hAnsi="Arial"/>
          <w:sz w:val="22"/>
          <w:szCs w:val="22"/>
        </w:rPr>
        <w:t xml:space="preserve">Non-fungible token holdings. Excluded from core because NFTs are non-fungible — one token is not interchangeable with another — which breaks the fungibility assumption of the core Asset schema. NFT extension defines a separate asset model for unique digital assets.</w:t>
      </w:r>
    </w:p>
    <w:p>
      <w:pPr>
        <w:spacing w:after="0" w:before="80"/>
      </w:pPr>
      <w:r>
        <w:t xml:space="preserve"/>
      </w:r>
    </w:p>
    <w:p>
      <w:pPr>
        <w:pStyle w:val="Heading2"/>
        <w:spacing w:after="160" w:before="320"/>
      </w:pPr>
      <w:r>
        <w:rPr>
          <w:rFonts w:ascii="Arial" w:cs="Arial" w:eastAsia="Arial" w:hAnsi="Arial"/>
          <w:b/>
          <w:bCs/>
          <w:color w:val="2E75B6"/>
          <w:sz w:val="26"/>
          <w:szCs w:val="26"/>
        </w:rPr>
        <w:t xml:space="preserve">7.3 DeFi Positions</w:t>
      </w:r>
    </w:p>
    <w:p>
      <w:pPr>
        <w:spacing w:after="80" w:before="80"/>
      </w:pPr>
      <w:r>
        <w:rPr>
          <w:rFonts w:ascii="Arial" w:cs="Arial" w:eastAsia="Arial" w:hAnsi="Arial"/>
          <w:sz w:val="22"/>
          <w:szCs w:val="22"/>
        </w:rPr>
        <w:t xml:space="preserve">Decentralized finance positions including liquidity pools, lending protocols, and yield farming. Excluded from core because DeFi positions often represent two assets in a variable ratio, which requires a more complex holding model than the core AccountHolding schema supports.</w:t>
      </w:r>
    </w:p>
    <w:p>
      <w:pPr>
        <w:spacing w:after="0" w:before="80"/>
      </w:pPr>
      <w:r>
        <w:t xml:space="preserve"/>
      </w:r>
    </w:p>
    <w:p>
      <w:pPr>
        <w:pStyle w:val="Heading2"/>
        <w:spacing w:after="160" w:before="320"/>
      </w:pPr>
      <w:r>
        <w:rPr>
          <w:rFonts w:ascii="Arial" w:cs="Arial" w:eastAsia="Arial" w:hAnsi="Arial"/>
          <w:b/>
          <w:bCs/>
          <w:color w:val="2E75B6"/>
          <w:sz w:val="26"/>
          <w:szCs w:val="26"/>
        </w:rPr>
        <w:t xml:space="preserve">7.4 GraphQL Interface</w:t>
      </w:r>
    </w:p>
    <w:p>
      <w:pPr>
        <w:spacing w:after="80" w:before="80"/>
      </w:pPr>
      <w:r>
        <w:rPr>
          <w:rFonts w:ascii="Arial" w:cs="Arial" w:eastAsia="Arial" w:hAnsi="Arial"/>
          <w:sz w:val="22"/>
          <w:szCs w:val="22"/>
        </w:rPr>
        <w:t xml:space="preserve">An optional GraphQL API layer for advanced consumers and AI agents. Provides flexible field selection and single-request access to complex nested data. Institutions are not required to implement GraphQL — the REST API defined in Section 5 is the required interface.</w:t>
      </w:r>
    </w:p>
    <w:p>
      <w:r>
        <w:br w:type="page"/>
      </w:r>
    </w:p>
    <w:p>
      <w:pPr>
        <w:pStyle w:val="Heading1"/>
        <w:pBdr>
          <w:bottom w:val="single" w:color="2E75B6" w:sz="6" w:space="4"/>
        </w:pBdr>
        <w:spacing w:after="200" w:before="400"/>
      </w:pPr>
      <w:r>
        <w:rPr>
          <w:rFonts w:ascii="Arial" w:cs="Arial" w:eastAsia="Arial" w:hAnsi="Arial"/>
          <w:b/>
          <w:bCs/>
          <w:color w:val="1B4F8A"/>
          <w:sz w:val="32"/>
          <w:szCs w:val="32"/>
        </w:rPr>
        <w:t xml:space="preserve">8. Security Requirements</w:t>
      </w:r>
    </w:p>
    <w:p>
      <w:pPr>
        <w:spacing w:after="80" w:before="80"/>
      </w:pPr>
      <w:r>
        <w:rPr>
          <w:rFonts w:ascii="Arial" w:cs="Arial" w:eastAsia="Arial" w:hAnsi="Arial"/>
          <w:sz w:val="22"/>
          <w:szCs w:val="22"/>
        </w:rPr>
        <w:t xml:space="preserve">OFDP handles highly sensitive financial data. The following security requirements are mandatory for all compliant implementations.</w:t>
      </w:r>
    </w:p>
    <w:p>
      <w:pPr>
        <w:spacing w:after="0" w:before="160"/>
      </w:pPr>
      <w:r>
        <w:t xml:space="preserve"/>
      </w:r>
    </w:p>
    <w:p>
      <w:pPr>
        <w:pStyle w:val="Heading2"/>
        <w:spacing w:after="160" w:before="320"/>
      </w:pPr>
      <w:r>
        <w:rPr>
          <w:rFonts w:ascii="Arial" w:cs="Arial" w:eastAsia="Arial" w:hAnsi="Arial"/>
          <w:b/>
          <w:bCs/>
          <w:color w:val="2E75B6"/>
          <w:sz w:val="26"/>
          <w:szCs w:val="26"/>
        </w:rPr>
        <w:t xml:space="preserve">8.1 Transport</w:t>
      </w:r>
    </w:p>
    <w:p>
      <w:pPr>
        <w:pStyle w:val="ListParagraph"/>
        <w:numPr>
          <w:ilvl w:val="0"/>
          <w:numId w:val="2"/>
        </w:numPr>
        <w:spacing w:after="60" w:before="60"/>
      </w:pPr>
      <w:r>
        <w:rPr>
          <w:rFonts w:ascii="Arial" w:cs="Arial" w:eastAsia="Arial" w:hAnsi="Arial"/>
          <w:sz w:val="22"/>
          <w:szCs w:val="22"/>
        </w:rPr>
        <w:t xml:space="preserve">All communication must use TLS 1.3 or higher.</w:t>
      </w:r>
    </w:p>
    <w:p>
      <w:pPr>
        <w:pStyle w:val="ListParagraph"/>
        <w:numPr>
          <w:ilvl w:val="0"/>
          <w:numId w:val="2"/>
        </w:numPr>
        <w:spacing w:after="60" w:before="60"/>
      </w:pPr>
      <w:r>
        <w:rPr>
          <w:rFonts w:ascii="Arial" w:cs="Arial" w:eastAsia="Arial" w:hAnsi="Arial"/>
          <w:sz w:val="22"/>
          <w:szCs w:val="22"/>
        </w:rPr>
        <w:t xml:space="preserve">Mutual TLS (mTLS) is required for institution-to-institution communication.</w:t>
      </w:r>
    </w:p>
    <w:p>
      <w:pPr>
        <w:pStyle w:val="ListParagraph"/>
        <w:numPr>
          <w:ilvl w:val="0"/>
          <w:numId w:val="2"/>
        </w:numPr>
        <w:spacing w:after="60" w:before="60"/>
      </w:pPr>
      <w:r>
        <w:rPr>
          <w:rFonts w:ascii="Arial" w:cs="Arial" w:eastAsia="Arial" w:hAnsi="Arial"/>
          <w:sz w:val="22"/>
          <w:szCs w:val="22"/>
        </w:rPr>
        <w:t xml:space="preserve">Certificate pinning is recommended for consumer applications connecting to known institutional endpoints.</w:t>
      </w:r>
    </w:p>
    <w:p>
      <w:pPr>
        <w:spacing w:after="0" w:before="160"/>
      </w:pPr>
      <w:r>
        <w:t xml:space="preserve"/>
      </w:r>
    </w:p>
    <w:p>
      <w:pPr>
        <w:pStyle w:val="Heading2"/>
        <w:spacing w:after="160" w:before="320"/>
      </w:pPr>
      <w:r>
        <w:rPr>
          <w:rFonts w:ascii="Arial" w:cs="Arial" w:eastAsia="Arial" w:hAnsi="Arial"/>
          <w:b/>
          <w:bCs/>
          <w:color w:val="2E75B6"/>
          <w:sz w:val="26"/>
          <w:szCs w:val="26"/>
        </w:rPr>
        <w:t xml:space="preserve">8.2 Authentication</w:t>
      </w:r>
    </w:p>
    <w:p>
      <w:pPr>
        <w:pStyle w:val="ListParagraph"/>
        <w:numPr>
          <w:ilvl w:val="0"/>
          <w:numId w:val="2"/>
        </w:numPr>
        <w:spacing w:after="60" w:before="60"/>
      </w:pPr>
      <w:r>
        <w:rPr>
          <w:rFonts w:ascii="Arial" w:cs="Arial" w:eastAsia="Arial" w:hAnsi="Arial"/>
          <w:sz w:val="22"/>
          <w:szCs w:val="22"/>
        </w:rPr>
        <w:t xml:space="preserve">OAuth 2.0 with PKCE is the required authorization flow for consumer authentication.</w:t>
      </w:r>
    </w:p>
    <w:p>
      <w:pPr>
        <w:pStyle w:val="ListParagraph"/>
        <w:numPr>
          <w:ilvl w:val="0"/>
          <w:numId w:val="2"/>
        </w:numPr>
        <w:spacing w:after="60" w:before="60"/>
      </w:pPr>
      <w:r>
        <w:rPr>
          <w:rFonts w:ascii="Arial" w:cs="Arial" w:eastAsia="Arial" w:hAnsi="Arial"/>
          <w:sz w:val="22"/>
          <w:szCs w:val="22"/>
        </w:rPr>
        <w:t xml:space="preserve">Session tokens must expire within 1 hour and support silent refresh.</w:t>
      </w:r>
    </w:p>
    <w:p>
      <w:pPr>
        <w:pStyle w:val="ListParagraph"/>
        <w:numPr>
          <w:ilvl w:val="0"/>
          <w:numId w:val="2"/>
        </w:numPr>
        <w:spacing w:after="60" w:before="60"/>
      </w:pPr>
      <w:r>
        <w:rPr>
          <w:rFonts w:ascii="Arial" w:cs="Arial" w:eastAsia="Arial" w:hAnsi="Arial"/>
          <w:sz w:val="22"/>
          <w:szCs w:val="22"/>
        </w:rPr>
        <w:t xml:space="preserve">All ConnectionRequests must be cryptographically signed by the requesting institution's private key.</w:t>
      </w:r>
    </w:p>
    <w:p>
      <w:pPr>
        <w:pStyle w:val="ListParagraph"/>
        <w:numPr>
          <w:ilvl w:val="0"/>
          <w:numId w:val="2"/>
        </w:numPr>
        <w:spacing w:after="60" w:before="60"/>
      </w:pPr>
      <w:r>
        <w:rPr>
          <w:rFonts w:ascii="Arial" w:cs="Arial" w:eastAsia="Arial" w:hAnsi="Arial"/>
          <w:sz w:val="22"/>
          <w:szCs w:val="22"/>
        </w:rPr>
        <w:t xml:space="preserve">All sync responses must be cryptographically signed by the responding institution's private key.</w:t>
      </w:r>
    </w:p>
    <w:p>
      <w:pPr>
        <w:spacing w:after="0" w:before="160"/>
      </w:pPr>
      <w:r>
        <w:t xml:space="preserve"/>
      </w:r>
    </w:p>
    <w:p>
      <w:pPr>
        <w:pStyle w:val="Heading2"/>
        <w:spacing w:after="160" w:before="320"/>
      </w:pPr>
      <w:r>
        <w:rPr>
          <w:rFonts w:ascii="Arial" w:cs="Arial" w:eastAsia="Arial" w:hAnsi="Arial"/>
          <w:b/>
          <w:bCs/>
          <w:color w:val="2E75B6"/>
          <w:sz w:val="26"/>
          <w:szCs w:val="26"/>
        </w:rPr>
        <w:t xml:space="preserve">8.3 Data at Rest</w:t>
      </w:r>
    </w:p>
    <w:p>
      <w:pPr>
        <w:pStyle w:val="ListParagraph"/>
        <w:numPr>
          <w:ilvl w:val="0"/>
          <w:numId w:val="2"/>
        </w:numPr>
        <w:spacing w:after="60" w:before="60"/>
      </w:pPr>
      <w:r>
        <w:rPr>
          <w:rFonts w:ascii="Arial" w:cs="Arial" w:eastAsia="Arial" w:hAnsi="Arial"/>
          <w:sz w:val="22"/>
          <w:szCs w:val="22"/>
        </w:rPr>
        <w:t xml:space="preserve">Account numbers, routing numbers, and wallet addresses must be encrypted at rest using AES-256 or equivalent.</w:t>
      </w:r>
    </w:p>
    <w:p>
      <w:pPr>
        <w:pStyle w:val="ListParagraph"/>
        <w:numPr>
          <w:ilvl w:val="0"/>
          <w:numId w:val="2"/>
        </w:numPr>
        <w:spacing w:after="60" w:before="60"/>
      </w:pPr>
      <w:r>
        <w:rPr>
          <w:rFonts w:ascii="Arial" w:cs="Arial" w:eastAsia="Arial" w:hAnsi="Arial"/>
          <w:sz w:val="22"/>
          <w:szCs w:val="22"/>
        </w:rPr>
        <w:t xml:space="preserve">Encryption keys must not be stored in the same location as encrypted data.</w:t>
      </w:r>
    </w:p>
    <w:p>
      <w:pPr>
        <w:pStyle w:val="ListParagraph"/>
        <w:numPr>
          <w:ilvl w:val="0"/>
          <w:numId w:val="2"/>
        </w:numPr>
        <w:spacing w:after="60" w:before="60"/>
      </w:pPr>
      <w:r>
        <w:rPr>
          <w:rFonts w:ascii="Arial" w:cs="Arial" w:eastAsia="Arial" w:hAnsi="Arial"/>
          <w:sz w:val="22"/>
          <w:szCs w:val="22"/>
        </w:rPr>
        <w:t xml:space="preserve">Self-hosted instances are responsible for their own encryption key management.</w:t>
      </w:r>
    </w:p>
    <w:p>
      <w:pPr>
        <w:spacing w:after="0" w:before="160"/>
      </w:pPr>
      <w:r>
        <w:t xml:space="preserve"/>
      </w:r>
    </w:p>
    <w:p>
      <w:pPr>
        <w:pStyle w:val="Heading2"/>
        <w:spacing w:after="160" w:before="320"/>
      </w:pPr>
      <w:r>
        <w:rPr>
          <w:rFonts w:ascii="Arial" w:cs="Arial" w:eastAsia="Arial" w:hAnsi="Arial"/>
          <w:b/>
          <w:bCs/>
          <w:color w:val="2E75B6"/>
          <w:sz w:val="26"/>
          <w:szCs w:val="26"/>
        </w:rPr>
        <w:t xml:space="preserve">8.4 Sandbox Mode</w:t>
      </w:r>
    </w:p>
    <w:p>
      <w:pPr>
        <w:pStyle w:val="ListParagraph"/>
        <w:numPr>
          <w:ilvl w:val="0"/>
          <w:numId w:val="2"/>
        </w:numPr>
        <w:spacing w:after="60" w:before="60"/>
      </w:pPr>
      <w:r>
        <w:rPr>
          <w:rFonts w:ascii="Arial" w:cs="Arial" w:eastAsia="Arial" w:hAnsi="Arial"/>
          <w:sz w:val="22"/>
          <w:szCs w:val="22"/>
        </w:rPr>
        <w:t xml:space="preserve">In sandbox mode, all sensitive fields are automatically masked regardless of permissions.</w:t>
      </w:r>
    </w:p>
    <w:p>
      <w:pPr>
        <w:pStyle w:val="ListParagraph"/>
        <w:numPr>
          <w:ilvl w:val="0"/>
          <w:numId w:val="2"/>
        </w:numPr>
        <w:spacing w:after="60" w:before="60"/>
      </w:pPr>
      <w:r>
        <w:rPr>
          <w:rFonts w:ascii="Arial" w:cs="Arial" w:eastAsia="Arial" w:hAnsi="Arial"/>
          <w:sz w:val="22"/>
          <w:szCs w:val="22"/>
        </w:rPr>
        <w:t xml:space="preserve">Sensitive fields include: account_number, routing_number, wallet_address, public_key, and all personally identifiable information.</w:t>
      </w:r>
    </w:p>
    <w:p>
      <w:pPr>
        <w:pStyle w:val="ListParagraph"/>
        <w:numPr>
          <w:ilvl w:val="0"/>
          <w:numId w:val="2"/>
        </w:numPr>
        <w:spacing w:after="60" w:before="60"/>
      </w:pPr>
      <w:r>
        <w:rPr>
          <w:rFonts w:ascii="Arial" w:cs="Arial" w:eastAsia="Arial" w:hAnsi="Arial"/>
          <w:sz w:val="22"/>
          <w:szCs w:val="22"/>
        </w:rPr>
        <w:t xml:space="preserve">Sandbox instances must not contain real financial data.</w:t>
      </w:r>
    </w:p>
    <w:p>
      <w:pPr>
        <w:pStyle w:val="ListParagraph"/>
        <w:numPr>
          <w:ilvl w:val="0"/>
          <w:numId w:val="2"/>
        </w:numPr>
        <w:spacing w:after="60" w:before="60"/>
      </w:pPr>
      <w:r>
        <w:rPr>
          <w:rFonts w:ascii="Arial" w:cs="Arial" w:eastAsia="Arial" w:hAnsi="Arial"/>
          <w:sz w:val="22"/>
          <w:szCs w:val="22"/>
        </w:rPr>
        <w:t xml:space="preserve">The environment field on ProtocolInstance must be explicitly set to production before real data is permitted.</w:t>
      </w:r>
    </w:p>
    <w:p>
      <w:r>
        <w:br w:type="page"/>
      </w:r>
    </w:p>
    <w:p>
      <w:pPr>
        <w:pStyle w:val="Heading1"/>
        <w:pBdr>
          <w:bottom w:val="single" w:color="2E75B6" w:sz="6" w:space="4"/>
        </w:pBdr>
        <w:spacing w:after="200" w:before="400"/>
      </w:pPr>
      <w:r>
        <w:rPr>
          <w:rFonts w:ascii="Arial" w:cs="Arial" w:eastAsia="Arial" w:hAnsi="Arial"/>
          <w:b/>
          <w:bCs/>
          <w:color w:val="1B4F8A"/>
          <w:sz w:val="32"/>
          <w:szCs w:val="32"/>
        </w:rPr>
        <w:t xml:space="preserve">9. Roadmap</w:t>
      </w:r>
    </w:p>
    <w:p>
      <w:pPr>
        <w:spacing w:after="80" w:before="80"/>
      </w:pPr>
      <w:r>
        <w:rPr>
          <w:rFonts w:ascii="Arial" w:cs="Arial" w:eastAsia="Arial" w:hAnsi="Arial"/>
          <w:sz w:val="22"/>
          <w:szCs w:val="22"/>
        </w:rPr>
        <w:t xml:space="preserve">OFDP v0.1 is a draft specification intended to solicit feedback from financial institutions, credit unions, fintech developers, and consumer advocates. The following milestones are planned.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v0.1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8"/>
                <w:szCs w:val="18"/>
              </w:rPr>
              <w:t xml:space="preserve">Current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Draft specification. Request for comment from institutions, developers, and consumer advocates.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v0.2</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8"/>
                <w:szCs w:val="18"/>
              </w:rPr>
              <w:t xml:space="preserve">TBD</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Reference implementation of core schema and REST API. Compliance test suite. First credit union pilot.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v0.3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8"/>
                <w:szCs w:val="18"/>
              </w:rPr>
              <w:t xml:space="preserve">TBD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Registry launch. First institutional certifications. iOS and Android consumer reference apps.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v1.0</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8"/>
                <w:szCs w:val="18"/>
              </w:rPr>
              <w:t xml:space="preserve">TBD</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Stable specification. Production-ready reference implementation. FDX interoperability validated.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v2.0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8"/>
                <w:szCs w:val="18"/>
              </w:rPr>
              <w:t xml:space="preserve">TBD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Distributed registry using internal consensus protocol. GraphQL extension. DeFi extension module.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0E0" w:val="clear"/>
            <w:tcMar>
              <w:top w:type="dxa" w:w="120"/>
              <w:left w:type="dxa" w:w="200"/>
              <w:bottom w:type="dxa" w:w="120"/>
              <w:right w:type="dxa" w:w="200"/>
            </w:tcMar>
          </w:tcPr>
          <w:p>
            <w:pPr>
              <w:spacing w:after="60" w:before="0"/>
            </w:pPr>
            <w:r>
              <w:rPr>
                <w:rFonts w:ascii="Arial" w:cs="Arial" w:eastAsia="Arial" w:hAnsi="Arial"/>
                <w:b/>
                <w:bCs/>
                <w:color w:val="1E7A3C"/>
                <w:sz w:val="22"/>
                <w:szCs w:val="22"/>
              </w:rPr>
              <w:t xml:space="preserve">Contributing</w:t>
            </w:r>
          </w:p>
          <w:p>
            <w:pPr>
              <w:spacing w:after="0" w:before="0"/>
            </w:pPr>
            <w:r>
              <w:rPr>
                <w:rFonts w:ascii="Arial" w:cs="Arial" w:eastAsia="Arial" w:hAnsi="Arial"/>
                <w:color w:val="444444"/>
                <w:sz w:val="20"/>
                <w:szCs w:val="20"/>
              </w:rPr>
              <w:t xml:space="preserve">OFDP is being developed as an open specification. Feedback, corrections, and proposals for extension modules are welcome. The goal is a protocol that any credit union developer can implement in weeks, any consumer can self-host on modest hardware, and any AI agent can consume without transformation.</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OFDP v0.1 Draft — Open Financial Data Protocol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8A"/>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2026-05-21T01:32:57.389Z</dcterms:created>
  <dcterms:modified xsi:type="dcterms:W3CDTF">2026-05-21T01:32:57.403Z</dcterms:modified>
</cp:coreProperties>
</file>

<file path=docProps/custom.xml><?xml version="1.0" encoding="utf-8"?>
<Properties xmlns="http://schemas.openxmlformats.org/officeDocument/2006/custom-properties" xmlns:vt="http://schemas.openxmlformats.org/officeDocument/2006/docPropsVTypes"/>
</file>