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D5FAA"/>
          <w:sz w:val="52"/>
          <w:szCs w:val="52"/>
        </w:rPr>
        <w:t xml:space="preserve">Mistral AI Documentation</w:t>
      </w:r>
    </w:p>
    <w:p>
      <w:pPr>
        <w:spacing w:after="120" w:before="0"/>
      </w:pPr>
      <w:r>
        <w:rPr>
          <w:rFonts w:ascii="Arial" w:cs="Arial" w:eastAsia="Arial" w:hAnsi="Arial"/>
          <w:color w:val="555550"/>
          <w:sz w:val="36"/>
          <w:szCs w:val="36"/>
        </w:rPr>
        <w:t xml:space="preserve">Information Architecture Recommendations</w:t>
      </w:r>
    </w:p>
    <w:p>
      <w:pPr>
        <w:spacing w:after="720" w:before="0"/>
      </w:pPr>
      <w:r>
        <w:rPr>
          <w:rFonts w:ascii="Arial" w:cs="Arial" w:eastAsia="Arial" w:hAnsi="Arial"/>
          <w:i/>
          <w:iCs/>
          <w:color w:val="888880"/>
          <w:sz w:val="22"/>
          <w:szCs w:val="22"/>
        </w:rPr>
        <w:t xml:space="preserve">Analysis, structure and implementation guide — 420 pages across 7 sections</w:t>
      </w:r>
    </w:p>
    <w:p>
      <w:pPr>
        <w:pStyle w:val="Heading1"/>
        <w:pBdr>
          <w:bottom w:val="single" w:color="1D5FAA" w:sz="4" w:space="4"/>
        </w:pBdr>
        <w:spacing w:after="120" w:before="360"/>
      </w:pPr>
      <w:r>
        <w:rPr>
          <w:rFonts w:ascii="Arial" w:cs="Arial" w:eastAsia="Arial" w:hAnsi="Arial"/>
          <w:b/>
          <w:bCs/>
          <w:color w:val="1D5FAA"/>
          <w:sz w:val="32"/>
          <w:szCs w:val="32"/>
        </w:rPr>
        <w:t xml:space="preserve">1. Executive Summary</w:t>
      </w:r>
    </w:p>
    <w:p>
      <w:pPr>
        <w:spacing w:after="120" w:before="60"/>
      </w:pPr>
      <w:r>
        <w:rPr>
          <w:rFonts w:ascii="Arial" w:cs="Arial" w:eastAsia="Arial" w:hAnsi="Arial"/>
          <w:sz w:val="22"/>
          <w:szCs w:val="22"/>
        </w:rPr>
        <w:t xml:space="preserve">This document presents a recommended information architecture for Mistral AI documentation, based on a full audit of all 420 pages in the live sitemap. The recommendations are grounded in three core observations.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The primary navigation should reflect how users work — orientation, building, evaluating, shipping — not how Mistral's teams are organised internally.</w:t>
      </w:r>
    </w:p>
    <w:p>
      <w:pPr>
        <w:pStyle w:val="ListParagraph"/>
        <w:numPr>
          <w:ilvl w:val="0"/>
          <w:numId w:val="2"/>
        </w:numPr>
        <w:spacing w:after="40" w:before="40"/>
      </w:pPr>
      <w:r>
        <w:rPr>
          <w:rFonts w:ascii="Arial" w:cs="Arial" w:eastAsia="Arial" w:hAnsi="Arial"/>
          <w:sz w:val="22"/>
          <w:szCs w:val="22"/>
        </w:rPr>
        <w:t xml:space="preserve">The current Developers section is a junk drawer. Everything in it belongs somewhere with a clearer purpose.</w:t>
      </w:r>
    </w:p>
    <w:p>
      <w:pPr>
        <w:pStyle w:val="ListParagraph"/>
        <w:numPr>
          <w:ilvl w:val="0"/>
          <w:numId w:val="2"/>
        </w:numPr>
        <w:spacing w:after="40" w:before="40"/>
      </w:pPr>
      <w:r>
        <w:rPr>
          <w:rFonts w:ascii="Arial" w:cs="Arial" w:eastAsia="Arial" w:hAnsi="Arial"/>
          <w:sz w:val="22"/>
          <w:szCs w:val="22"/>
        </w:rPr>
        <w:t xml:space="preserve">Cookbooks are not reference material. They are the demonstration layer showing how capabilities compose into real use cases, and should be structured and discovered accordingly.</w:t>
      </w:r>
    </w:p>
    <w:p>
      <w:pPr>
        <w:spacing w:after="0" w:before="120"/>
      </w:pPr>
      <w:r>
        <w:t xml:space="preserve"/>
      </w:r>
    </w:p>
    <w:p>
      <w:pPr>
        <w:spacing w:after="120" w:before="60"/>
      </w:pPr>
      <w:r>
        <w:rPr>
          <w:rFonts w:ascii="Arial" w:cs="Arial" w:eastAsia="Arial" w:hAnsi="Arial"/>
          <w:sz w:val="22"/>
          <w:szCs w:val="22"/>
        </w:rPr>
        <w:t xml:space="preserve">The recommended structure is seven top-level sections: Get Started, Models, Build, Platform, Admin, Reference, and Cookbooks. Evaluate and Ship is not a separate top-level section — it is the final phase of Build, positioned at the bottom of the Build sidebar to signal the natural next step after building. A developer does not leave Build to evaluate their work; they continue within the same cognitive frame.</w:t>
      </w:r>
    </w:p>
    <w:p>
      <w:pPr>
        <w:spacing w:after="120" w:before="60"/>
      </w:pPr>
      <w:r>
        <w:rPr>
          <w:rFonts w:ascii="Arial" w:cs="Arial" w:eastAsia="Arial" w:hAnsi="Arial"/>
          <w:sz w:val="22"/>
          <w:szCs w:val="22"/>
        </w:rPr>
        <w:t xml:space="preserve">Cookbooks does not appear in the primary top nav, keeping it at six items. It is accessible via a utility link in the documentation header — following Mistral's own existing convention — and via inline surfacing from every Build page.</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2. Current State Analysis</w:t>
      </w:r>
    </w:p>
    <w:p>
      <w:pPr>
        <w:spacing w:after="120" w:before="60"/>
      </w:pPr>
      <w:r>
        <w:rPr>
          <w:rFonts w:ascii="Arial" w:cs="Arial" w:eastAsia="Arial" w:hAnsi="Arial"/>
          <w:sz w:val="22"/>
          <w:szCs w:val="22"/>
        </w:rPr>
        <w:t xml:space="preserve">Current top-level navigation: Getting Started, Models, Products, Developers, Admin, API. Several problems remain despite recent improvements.</w:t>
      </w:r>
    </w:p>
    <w:p>
      <w:pPr>
        <w:spacing w:after="0" w:before="60"/>
      </w:pPr>
      <w:r>
        <w:t xml:space="preserve"/>
      </w:r>
    </w:p>
    <w:p>
      <w:pPr>
        <w:pStyle w:val="Heading2"/>
        <w:spacing w:after="80" w:before="240"/>
      </w:pPr>
      <w:r>
        <w:rPr>
          <w:rFonts w:ascii="Arial" w:cs="Arial" w:eastAsia="Arial" w:hAnsi="Arial"/>
          <w:b/>
          <w:bCs/>
          <w:color w:val="1A1A18"/>
          <w:sz w:val="26"/>
          <w:szCs w:val="26"/>
        </w:rPr>
        <w:t xml:space="preserve">What is working</w:t>
      </w:r>
    </w:p>
    <w:p>
      <w:pPr>
        <w:pStyle w:val="ListParagraph"/>
        <w:numPr>
          <w:ilvl w:val="0"/>
          <w:numId w:val="2"/>
        </w:numPr>
        <w:spacing w:after="40" w:before="40"/>
      </w:pPr>
      <w:r>
        <w:rPr>
          <w:rFonts w:ascii="Arial" w:cs="Arial" w:eastAsia="Arial" w:hAnsi="Arial"/>
          <w:sz w:val="22"/>
          <w:szCs w:val="22"/>
        </w:rPr>
        <w:t xml:space="preserve">Models as a top-level section is correct. Model selection is a first-class decision.</w:t>
      </w:r>
    </w:p>
    <w:p>
      <w:pPr>
        <w:pStyle w:val="ListParagraph"/>
        <w:numPr>
          <w:ilvl w:val="0"/>
          <w:numId w:val="2"/>
        </w:numPr>
        <w:spacing w:after="40" w:before="40"/>
      </w:pPr>
      <w:r>
        <w:rPr>
          <w:rFonts w:ascii="Arial" w:cs="Arial" w:eastAsia="Arial" w:hAnsi="Arial"/>
          <w:sz w:val="22"/>
          <w:szCs w:val="22"/>
        </w:rPr>
        <w:t xml:space="preserve">Admin separated by a visual divider in the product switcher correctly signals it is management infrastructure, not a product surface.</w:t>
      </w:r>
    </w:p>
    <w:p>
      <w:pPr>
        <w:pStyle w:val="ListParagraph"/>
        <w:numPr>
          <w:ilvl w:val="0"/>
          <w:numId w:val="2"/>
        </w:numPr>
        <w:spacing w:after="40" w:before="40"/>
      </w:pPr>
      <w:r>
        <w:rPr>
          <w:rFonts w:ascii="Arial" w:cs="Arial" w:eastAsia="Arial" w:hAnsi="Arial"/>
          <w:sz w:val="22"/>
          <w:szCs w:val="22"/>
        </w:rPr>
        <w:t xml:space="preserve">The Products section correctly groups Le Chat, Studio, and Vibe as product surfaces.</w:t>
      </w:r>
    </w:p>
    <w:p>
      <w:pPr>
        <w:pStyle w:val="ListParagraph"/>
        <w:numPr>
          <w:ilvl w:val="0"/>
          <w:numId w:val="2"/>
        </w:numPr>
        <w:spacing w:after="40" w:before="40"/>
      </w:pPr>
      <w:r>
        <w:rPr>
          <w:rFonts w:ascii="Arial" w:cs="Arial" w:eastAsia="Arial" w:hAnsi="Arial"/>
          <w:sz w:val="22"/>
          <w:szCs w:val="22"/>
        </w:rPr>
        <w:t xml:space="preserve">The persona-based quickstart paths (Le Chat, Developer, Studio, Admin, Vibe) are well-structured.</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What needs to change</w:t>
      </w:r>
    </w:p>
    <w:p>
      <w:pPr>
        <w:pStyle w:val="ListParagraph"/>
        <w:numPr>
          <w:ilvl w:val="0"/>
          <w:numId w:val="2"/>
        </w:numPr>
        <w:spacing w:after="40" w:before="40"/>
      </w:pPr>
      <w:r>
        <w:rPr>
          <w:rFonts w:ascii="Arial" w:cs="Arial" w:eastAsia="Arial" w:hAnsi="Arial"/>
          <w:sz w:val="22"/>
          <w:szCs w:val="22"/>
        </w:rPr>
        <w:t xml:space="preserve">Developers is a junk drawer containing SDKs, cookbooks, error glossary, known limitations, deprecated features, changelog, and migration guides. None belong together.</w:t>
      </w:r>
    </w:p>
    <w:p>
      <w:pPr>
        <w:pStyle w:val="ListParagraph"/>
        <w:numPr>
          <w:ilvl w:val="0"/>
          <w:numId w:val="2"/>
        </w:numPr>
        <w:spacing w:after="40" w:before="40"/>
      </w:pPr>
      <w:r>
        <w:rPr>
          <w:rFonts w:ascii="Arial" w:cs="Arial" w:eastAsia="Arial" w:hAnsi="Arial"/>
          <w:sz w:val="22"/>
          <w:szCs w:val="22"/>
        </w:rPr>
        <w:t xml:space="preserve">Cookbooks are filed alongside error codes and migration guides, implying they are reference material. They are not.</w:t>
      </w:r>
    </w:p>
    <w:p>
      <w:pPr>
        <w:pStyle w:val="ListParagraph"/>
        <w:numPr>
          <w:ilvl w:val="0"/>
          <w:numId w:val="2"/>
        </w:numPr>
        <w:spacing w:after="40" w:before="40"/>
      </w:pPr>
      <w:r>
        <w:rPr>
          <w:rFonts w:ascii="Arial" w:cs="Arial" w:eastAsia="Arial" w:hAnsi="Arial"/>
          <w:sz w:val="22"/>
          <w:szCs w:val="22"/>
        </w:rPr>
        <w:t xml:space="preserve">Studio conflates API task guides with platform console UI docs. API guides belong in Build; console UI docs belong in Platform.</w:t>
      </w:r>
    </w:p>
    <w:p>
      <w:pPr>
        <w:pStyle w:val="ListParagraph"/>
        <w:numPr>
          <w:ilvl w:val="0"/>
          <w:numId w:val="2"/>
        </w:numPr>
        <w:spacing w:after="40" w:before="40"/>
      </w:pPr>
      <w:r>
        <w:rPr>
          <w:rFonts w:ascii="Arial" w:cs="Arial" w:eastAsia="Arial" w:hAnsi="Arial"/>
          <w:sz w:val="22"/>
          <w:szCs w:val="22"/>
        </w:rPr>
        <w:t xml:space="preserve">The Observability section is an evaluation platform with campaigns, datasets, and LLM judges. It belongs as the final phase of Build, not buried inside Studio.</w:t>
      </w:r>
    </w:p>
    <w:p>
      <w:pPr>
        <w:pStyle w:val="ListParagraph"/>
        <w:numPr>
          <w:ilvl w:val="0"/>
          <w:numId w:val="2"/>
        </w:numPr>
        <w:spacing w:after="40" w:before="40"/>
      </w:pPr>
      <w:r>
        <w:rPr>
          <w:rFonts w:ascii="Arial" w:cs="Arial" w:eastAsia="Arial" w:hAnsi="Arial"/>
          <w:sz w:val="22"/>
          <w:szCs w:val="22"/>
        </w:rPr>
        <w:t xml:space="preserve">Deployment options imply all developers make infrastructure decisions. Most do not — they use the Mistral API endpoint. Deployment content belongs in Models as a separated sub-section for the minority who self-host.</w:t>
      </w:r>
    </w:p>
    <w:p>
      <w:pPr>
        <w:pStyle w:val="ListParagraph"/>
        <w:numPr>
          <w:ilvl w:val="0"/>
          <w:numId w:val="2"/>
        </w:numPr>
        <w:spacing w:after="40" w:before="40"/>
      </w:pPr>
      <w:r>
        <w:rPr>
          <w:rFonts w:ascii="Arial" w:cs="Arial" w:eastAsia="Arial" w:hAnsi="Arial"/>
          <w:sz w:val="22"/>
          <w:szCs w:val="22"/>
        </w:rPr>
        <w:t xml:space="preserve">Duplicate URLs exist for developer quickstarts and Le Chat quickstarts. These require redirect resolution.</w:t>
      </w:r>
    </w:p>
    <w:p>
      <w:pPr>
        <w:pStyle w:val="ListParagraph"/>
        <w:numPr>
          <w:ilvl w:val="0"/>
          <w:numId w:val="2"/>
        </w:numPr>
        <w:spacing w:after="40" w:before="40"/>
      </w:pPr>
      <w:r>
        <w:rPr>
          <w:rFonts w:ascii="Arial" w:cs="Arial" w:eastAsia="Arial" w:hAnsi="Arial"/>
          <w:sz w:val="22"/>
          <w:szCs w:val="22"/>
        </w:rPr>
        <w:t xml:space="preserve">Legacy capability URLs (/capabilities/*, /agents/*, /deployment/*) still resolve and conflict with the current URL structure.</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3. Design Principles</w:t>
      </w:r>
    </w:p>
    <w:p>
      <w:pPr>
        <w:pStyle w:val="Heading3"/>
        <w:spacing w:after="60" w:before="180"/>
      </w:pPr>
      <w:r>
        <w:rPr>
          <w:rFonts w:ascii="Arial" w:cs="Arial" w:eastAsia="Arial" w:hAnsi="Arial"/>
          <w:b/>
          <w:bCs/>
          <w:color w:val="1D5FAA"/>
          <w:sz w:val="22"/>
          <w:szCs w:val="22"/>
        </w:rPr>
        <w:t xml:space="preserve">Organise around user intent, not team structure</w:t>
      </w:r>
    </w:p>
    <w:p>
      <w:pPr>
        <w:spacing w:after="120" w:before="60"/>
      </w:pPr>
      <w:r>
        <w:rPr>
          <w:rFonts w:ascii="Arial" w:cs="Arial" w:eastAsia="Arial" w:hAnsi="Arial"/>
          <w:sz w:val="22"/>
          <w:szCs w:val="22"/>
        </w:rPr>
        <w:t xml:space="preserve">Navigation is not just wayfinding — it is the first act of documentation. A nav organised by API surface forces users to translate their intent into the platform's internal model. The nav should do that translation for them.</w:t>
      </w:r>
    </w:p>
    <w:p>
      <w:pPr>
        <w:spacing w:after="0" w:before="60"/>
      </w:pPr>
      <w:r>
        <w:t xml:space="preserve"/>
      </w:r>
    </w:p>
    <w:p>
      <w:pPr>
        <w:pStyle w:val="Heading3"/>
        <w:spacing w:after="60" w:before="180"/>
      </w:pPr>
      <w:r>
        <w:rPr>
          <w:rFonts w:ascii="Arial" w:cs="Arial" w:eastAsia="Arial" w:hAnsi="Arial"/>
          <w:b/>
          <w:bCs/>
          <w:color w:val="1D5FAA"/>
          <w:sz w:val="22"/>
          <w:szCs w:val="22"/>
        </w:rPr>
        <w:t xml:space="preserve">Personas are entry points, not structure</w:t>
      </w:r>
    </w:p>
    <w:p>
      <w:pPr>
        <w:spacing w:after="120" w:before="60"/>
      </w:pPr>
      <w:r>
        <w:rPr>
          <w:rFonts w:ascii="Arial" w:cs="Arial" w:eastAsia="Arial" w:hAnsi="Arial"/>
          <w:sz w:val="22"/>
          <w:szCs w:val="22"/>
        </w:rPr>
        <w:t xml:space="preserve">Persona-based sections always expand into junk drawers because the same developer needs to build, evaluate, deploy, and reference — at different times. The right pattern is persona-based entry on the homepage with a shared intent-based structure underneath.</w:t>
      </w:r>
    </w:p>
    <w:p>
      <w:pPr>
        <w:spacing w:after="0" w:before="60"/>
      </w:pPr>
      <w:r>
        <w:t xml:space="preserve"/>
      </w:r>
    </w:p>
    <w:p>
      <w:pPr>
        <w:pStyle w:val="Heading3"/>
        <w:spacing w:after="60" w:before="180"/>
      </w:pPr>
      <w:r>
        <w:rPr>
          <w:rFonts w:ascii="Arial" w:cs="Arial" w:eastAsia="Arial" w:hAnsi="Arial"/>
          <w:b/>
          <w:bCs/>
          <w:color w:val="1D5FAA"/>
          <w:sz w:val="22"/>
          <w:szCs w:val="22"/>
        </w:rPr>
        <w:t xml:space="preserve">Evaluate and Ship is part of Build, not a separate destination</w:t>
      </w:r>
    </w:p>
    <w:p>
      <w:pPr>
        <w:spacing w:after="120" w:before="60"/>
      </w:pPr>
      <w:r>
        <w:rPr>
          <w:rFonts w:ascii="Arial" w:cs="Arial" w:eastAsia="Arial" w:hAnsi="Arial"/>
          <w:sz w:val="22"/>
          <w:szCs w:val="22"/>
        </w:rPr>
        <w:t xml:space="preserve">Evaluation and quality assurance are the final phase of building, not a separate job. A developer who has built an agent and a developer who is evaluating that agent are the same person in the same working session. In the sidebar, Evaluate and Ship appears at the bottom of Build — the natural next step, not a different destination. Separating it as a top-level section would imply a different audience or a different product, which is wrong.</w:t>
      </w:r>
    </w:p>
    <w:p>
      <w:pPr>
        <w:spacing w:after="0" w:before="60"/>
      </w:pPr>
      <w:r>
        <w:t xml:space="preserve"/>
      </w:r>
    </w:p>
    <w:p>
      <w:pPr>
        <w:pStyle w:val="Heading3"/>
        <w:spacing w:after="60" w:before="180"/>
      </w:pPr>
      <w:r>
        <w:rPr>
          <w:rFonts w:ascii="Arial" w:cs="Arial" w:eastAsia="Arial" w:hAnsi="Arial"/>
          <w:b/>
          <w:bCs/>
          <w:color w:val="1D5FAA"/>
          <w:sz w:val="22"/>
          <w:szCs w:val="22"/>
        </w:rPr>
        <w:t xml:space="preserve">Top nav cognitive load is a hard constraint</w:t>
      </w:r>
    </w:p>
    <w:p>
      <w:pPr>
        <w:spacing w:after="120" w:before="60"/>
      </w:pPr>
      <w:r>
        <w:rPr>
          <w:rFonts w:ascii="Arial" w:cs="Arial" w:eastAsia="Arial" w:hAnsi="Arial"/>
          <w:sz w:val="22"/>
          <w:szCs w:val="22"/>
        </w:rPr>
        <w:t xml:space="preserve">Seven or eight top-level nav items pushes users past comfortable working memory. Six items is the practical limit. Evaluate and Ship belongs inside Build. Cookbooks belongs in the header utility bar, not the primary nav. Both are reachable in one click without consuming a primary nav slot.</w:t>
      </w:r>
    </w:p>
    <w:p>
      <w:pPr>
        <w:spacing w:after="0" w:before="60"/>
      </w:pPr>
      <w:r>
        <w:t xml:space="preserve"/>
      </w:r>
    </w:p>
    <w:p>
      <w:pPr>
        <w:pStyle w:val="Heading3"/>
        <w:spacing w:after="60" w:before="180"/>
      </w:pPr>
      <w:r>
        <w:rPr>
          <w:rFonts w:ascii="Arial" w:cs="Arial" w:eastAsia="Arial" w:hAnsi="Arial"/>
          <w:b/>
          <w:bCs/>
          <w:color w:val="1D5FAA"/>
          <w:sz w:val="22"/>
          <w:szCs w:val="22"/>
        </w:rPr>
        <w:t xml:space="preserve">Capabilities and use cases are different layers</w:t>
      </w:r>
    </w:p>
    <w:p>
      <w:pPr>
        <w:spacing w:after="120" w:before="60"/>
      </w:pPr>
      <w:r>
        <w:rPr>
          <w:rFonts w:ascii="Arial" w:cs="Arial" w:eastAsia="Arial" w:hAnsi="Arial"/>
          <w:sz w:val="22"/>
          <w:szCs w:val="22"/>
        </w:rPr>
        <w:t xml:space="preserve">Capabilities describe what the API can do. Use cases describe what developers are trying to build. A use-case filter on top of a capability structure gives users a familiar entry point without requiring separately maintained sections.</w:t>
      </w:r>
    </w:p>
    <w:p>
      <w:pPr>
        <w:spacing w:after="0" w:before="60"/>
      </w:pPr>
      <w:r>
        <w:t xml:space="preserve"/>
      </w:r>
    </w:p>
    <w:p>
      <w:pPr>
        <w:pStyle w:val="Heading3"/>
        <w:spacing w:after="60" w:before="180"/>
      </w:pPr>
      <w:r>
        <w:rPr>
          <w:rFonts w:ascii="Arial" w:cs="Arial" w:eastAsia="Arial" w:hAnsi="Arial"/>
          <w:b/>
          <w:bCs/>
          <w:color w:val="1D5FAA"/>
          <w:sz w:val="22"/>
          <w:szCs w:val="22"/>
        </w:rPr>
        <w:t xml:space="preserve">Reference is the exact source of truth, nothing more</w:t>
      </w:r>
    </w:p>
    <w:p>
      <w:pPr>
        <w:spacing w:after="120" w:before="60"/>
      </w:pPr>
      <w:r>
        <w:rPr>
          <w:rFonts w:ascii="Arial" w:cs="Arial" w:eastAsia="Arial" w:hAnsi="Arial"/>
          <w:sz w:val="22"/>
          <w:szCs w:val="22"/>
        </w:rPr>
        <w:t xml:space="preserve">If a page requires explanatory prose to be useful, that prose belongs in Build. Reference contains endpoint specifications, schemas, error codes, and changelogs — never guides or examples.</w:t>
      </w:r>
    </w:p>
    <w:p>
      <w:pPr>
        <w:spacing w:after="0" w:before="60"/>
      </w:pPr>
      <w:r>
        <w:t xml:space="preserve"/>
      </w:r>
    </w:p>
    <w:p>
      <w:pPr>
        <w:pStyle w:val="Heading3"/>
        <w:spacing w:after="60" w:before="180"/>
      </w:pPr>
      <w:r>
        <w:rPr>
          <w:rFonts w:ascii="Arial" w:cs="Arial" w:eastAsia="Arial" w:hAnsi="Arial"/>
          <w:b/>
          <w:bCs/>
          <w:color w:val="1D5FAA"/>
          <w:sz w:val="22"/>
          <w:szCs w:val="22"/>
        </w:rPr>
        <w:t xml:space="preserve">Cookbooks are a demonstration layer, not a filing cabinet</w:t>
      </w:r>
    </w:p>
    <w:p>
      <w:pPr>
        <w:spacing w:after="120" w:before="60"/>
      </w:pPr>
      <w:r>
        <w:rPr>
          <w:rFonts w:ascii="Arial" w:cs="Arial" w:eastAsia="Arial" w:hAnsi="Arial"/>
          <w:sz w:val="22"/>
          <w:szCs w:val="22"/>
        </w:rPr>
        <w:t xml:space="preserve">Cookbooks that compose multiple capabilities to build a complete pipeline demonstrate a use case. Their primary discovery is inline from Build pages. The Cookbooks section is a browsable landing page with a topic filter mirroring Build.</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4. Recommended Information Architecture</w:t>
      </w:r>
    </w:p>
    <w:p>
      <w:pPr>
        <w:spacing w:after="120" w:before="60"/>
      </w:pPr>
      <w:r>
        <w:rPr>
          <w:rFonts w:ascii="Arial" w:cs="Arial" w:eastAsia="Arial" w:hAnsi="Arial"/>
          <w:sz w:val="22"/>
          <w:szCs w:val="22"/>
        </w:rPr>
        <w:t xml:space="preserve">Seven top-level sections across 420 pages. The developer journey — Get Started, Build (including Evaluate and Ship), Reference — forms the primary spine.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9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pPr>
              <w:jc w:val="center"/>
            </w:pPr>
            <w:r>
              <w:rPr>
                <w:rFonts w:ascii="Arial" w:cs="Arial" w:eastAsia="Arial" w:hAnsi="Arial"/>
                <w:b/>
                <w:bCs/>
                <w:sz w:val="20"/>
                <w:szCs w:val="20"/>
              </w:rPr>
              <w:t xml:space="preserve">Pages</w:t>
            </w:r>
          </w:p>
        </w:tc>
        <w:tc>
          <w:tcPr>
            <w:tcW w:type="dxa" w:w="62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0F6E56"/>
                <w:sz w:val="22"/>
                <w:szCs w:val="22"/>
              </w:rPr>
              <w:t xml:space="preserve">Get Started</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32</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Developer journey step 1. First success in 15 minutes by persona.</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B07015"/>
                <w:sz w:val="22"/>
                <w:szCs w:val="22"/>
              </w:rPr>
              <w:t xml:space="preserve">Models</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85</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Model selection, catalog, and self-hosting (visually separated).</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D5FAA"/>
                <w:sz w:val="22"/>
                <w:szCs w:val="22"/>
              </w:rPr>
              <w:t xml:space="preserve">Build</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79</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API task guides. Evaluate and Ship is the final phase inside Build.</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i/>
                <w:iCs/>
                <w:color w:val="555550"/>
                <w:sz w:val="21"/>
                <w:szCs w:val="21"/>
              </w:rPr>
              <w:t xml:space="preserve">  └─ Evaluate and Ship</w:t>
            </w:r>
          </w:p>
        </w:tc>
        <w:tc>
          <w:tcPr>
            <w:tcW w:type="dxa" w:w="9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pPr>
              <w:jc w:val="center"/>
            </w:pPr>
            <w:r>
              <w:rPr>
                <w:rFonts w:ascii="Arial" w:cs="Arial" w:eastAsia="Arial" w:hAnsi="Arial"/>
                <w:i/>
                <w:iCs/>
                <w:color w:val="aaaaaa"/>
                <w:sz w:val="21"/>
                <w:szCs w:val="21"/>
              </w:rPr>
              <w:t xml:space="preserve">(9)</w:t>
            </w:r>
          </w:p>
        </w:tc>
        <w:tc>
          <w:tcPr>
            <w:tcW w:type="dxa" w:w="62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i/>
                <w:iCs/>
                <w:color w:val="555550"/>
                <w:sz w:val="21"/>
                <w:szCs w:val="21"/>
              </w:rPr>
              <w:t xml:space="preserve">Final phase of Build. Evals, observability, safety, quality gates.</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72243E"/>
                <w:sz w:val="22"/>
                <w:szCs w:val="22"/>
              </w:rPr>
              <w:t xml:space="preserve">Platform</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29</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Product surfaces — Le Chat, Studio Console, Mistral Vibe.</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3B6D11"/>
                <w:sz w:val="22"/>
                <w:szCs w:val="22"/>
              </w:rPr>
              <w:t xml:space="preserve">Admin</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17</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Role-based — org administrators, SSO, billing.</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534AB7"/>
                <w:sz w:val="22"/>
                <w:szCs w:val="22"/>
              </w:rPr>
              <w:t xml:space="preserve">Reference</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49</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Exact technical source of truth — endpoints, schemas, changelog.</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0F6E56"/>
                <w:sz w:val="22"/>
                <w:szCs w:val="22"/>
              </w:rPr>
              <w:t xml:space="preserve">Cookbooks</w:t>
            </w:r>
          </w:p>
        </w:tc>
        <w:tc>
          <w:tcPr>
            <w:tcW w:type="dxa" w:w="9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pPr>
              <w:jc w:val="center"/>
            </w:pPr>
            <w:r>
              <w:rPr>
                <w:rFonts w:ascii="Arial" w:cs="Arial" w:eastAsia="Arial" w:hAnsi="Arial"/>
                <w:color w:val="888880"/>
                <w:sz w:val="22"/>
                <w:szCs w:val="22"/>
              </w:rPr>
              <w:t xml:space="preserve">127</w:t>
            </w:r>
          </w:p>
        </w:tc>
        <w:tc>
          <w:tcPr>
            <w:tcW w:type="dxa" w:w="62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Task examples. Browsable via header utility link. Discovered inline from Build.</w:t>
            </w:r>
          </w:p>
        </w:tc>
      </w:tr>
    </w:tbl>
    <w:p>
      <w:pPr>
        <w:spacing w:after="0" w:before="240"/>
      </w:pPr>
      <w:r>
        <w:t xml:space="preserve"/>
      </w:r>
    </w:p>
    <w:p>
      <w:pPr>
        <w:pStyle w:val="Heading2"/>
        <w:spacing w:after="80" w:before="240"/>
      </w:pPr>
      <w:r>
        <w:rPr>
          <w:rFonts w:ascii="Arial" w:cs="Arial" w:eastAsia="Arial" w:hAnsi="Arial"/>
          <w:b/>
          <w:bCs/>
          <w:color w:val="1A1A18"/>
          <w:sz w:val="26"/>
          <w:szCs w:val="26"/>
        </w:rPr>
        <w:t xml:space="preserve">4.1 Get Started (32 pages)</w:t>
      </w:r>
    </w:p>
    <w:p>
      <w:pPr>
        <w:spacing w:after="120" w:before="60"/>
      </w:pPr>
      <w:r>
        <w:rPr>
          <w:rFonts w:ascii="Arial" w:cs="Arial" w:eastAsia="Arial" w:hAnsi="Arial"/>
          <w:sz w:val="22"/>
          <w:szCs w:val="22"/>
        </w:rPr>
        <w:t xml:space="preserve">The single job of Get Started is first success in under 15 minutes. Model selection does not belong here — the quickstart provides the model name. Developers visit the selection guide later, when they are building something real.</w:t>
      </w:r>
    </w:p>
    <w:p>
      <w:pPr>
        <w:pStyle w:val="ListParagraph"/>
        <w:numPr>
          <w:ilvl w:val="0"/>
          <w:numId w:val="2"/>
        </w:numPr>
        <w:spacing w:after="40" w:before="40"/>
      </w:pPr>
      <w:r>
        <w:rPr>
          <w:rFonts w:ascii="Arial" w:cs="Arial" w:eastAsia="Arial" w:hAnsi="Arial"/>
          <w:sz w:val="22"/>
          <w:szCs w:val="22"/>
        </w:rPr>
        <w:t xml:space="preserve">Quickstarts by persona — Le Chat (3), Developer (3), Studio (2), Mistral Vibe (2), Admin (3)</w:t>
      </w:r>
    </w:p>
    <w:p>
      <w:pPr>
        <w:pStyle w:val="ListParagraph"/>
        <w:numPr>
          <w:ilvl w:val="0"/>
          <w:numId w:val="2"/>
        </w:numPr>
        <w:spacing w:after="40" w:before="40"/>
      </w:pPr>
      <w:r>
        <w:rPr>
          <w:rFonts w:ascii="Arial" w:cs="Arial" w:eastAsia="Arial" w:hAnsi="Arial"/>
          <w:sz w:val="22"/>
          <w:szCs w:val="22"/>
        </w:rPr>
        <w:t xml:space="preserve">Choose your path — Le Chat vs Studio vs Admin comparison</w:t>
      </w:r>
    </w:p>
    <w:p>
      <w:pPr>
        <w:pStyle w:val="ListParagraph"/>
        <w:numPr>
          <w:ilvl w:val="0"/>
          <w:numId w:val="2"/>
        </w:numPr>
        <w:spacing w:after="40" w:before="40"/>
      </w:pPr>
      <w:r>
        <w:rPr>
          <w:rFonts w:ascii="Arial" w:cs="Arial" w:eastAsia="Arial" w:hAnsi="Arial"/>
          <w:sz w:val="22"/>
          <w:szCs w:val="22"/>
        </w:rPr>
        <w:t xml:space="preserve">Install an SDK — Python, TypeScript, quickstart install only</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Does a new user need this in their first 15 minutes? If no, it belongs elsewhere.</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4.2 Models (85 pages)</w:t>
      </w:r>
    </w:p>
    <w:p>
      <w:pPr>
        <w:spacing w:after="120" w:before="60"/>
      </w:pPr>
      <w:r>
        <w:rPr>
          <w:rFonts w:ascii="Arial" w:cs="Arial" w:eastAsia="Arial" w:hAnsi="Arial"/>
          <w:sz w:val="22"/>
          <w:szCs w:val="22"/>
        </w:rPr>
        <w:t xml:space="preserve">Two distinct reading modes separated by a clear visual break. The majority path is model selection. The minority path is self-hosting. The divider signals this before any page is read.</w:t>
      </w:r>
    </w:p>
    <w:p>
      <w:pPr>
        <w:pStyle w:val="Heading3"/>
        <w:spacing w:after="60" w:before="180"/>
      </w:pPr>
      <w:r>
        <w:rPr>
          <w:rFonts w:ascii="Arial" w:cs="Arial" w:eastAsia="Arial" w:hAnsi="Arial"/>
          <w:b/>
          <w:bCs/>
          <w:color w:val="333330"/>
          <w:sz w:val="22"/>
          <w:szCs w:val="22"/>
        </w:rPr>
        <w:t xml:space="preserve">Catalog and selection (64 pages)</w:t>
      </w:r>
    </w:p>
    <w:p>
      <w:pPr>
        <w:pStyle w:val="ListParagraph"/>
        <w:numPr>
          <w:ilvl w:val="0"/>
          <w:numId w:val="2"/>
        </w:numPr>
        <w:spacing w:after="40" w:before="40"/>
      </w:pPr>
      <w:r>
        <w:rPr>
          <w:rFonts w:ascii="Arial" w:cs="Arial" w:eastAsia="Arial" w:hAnsi="Arial"/>
          <w:sz w:val="22"/>
          <w:szCs w:val="22"/>
        </w:rPr>
        <w:t xml:space="preserve">Overview, selection guide, best practices (prompt engineering, sampling), labs</w:t>
      </w:r>
    </w:p>
    <w:p>
      <w:pPr>
        <w:pStyle w:val="ListParagraph"/>
        <w:numPr>
          <w:ilvl w:val="0"/>
          <w:numId w:val="2"/>
        </w:numPr>
        <w:spacing w:after="40" w:before="40"/>
      </w:pPr>
      <w:r>
        <w:rPr>
          <w:rFonts w:ascii="Arial" w:cs="Arial" w:eastAsia="Arial" w:hAnsi="Arial"/>
          <w:sz w:val="22"/>
          <w:szCs w:val="22"/>
        </w:rPr>
        <w:t xml:space="preserve">Model families — Mistral, Magistral, Devstral, Codestral, Ministral, Voxtral, OCR, Pixtral, Mixtral, Embedding, Moderation</w:t>
      </w:r>
    </w:p>
    <w:p>
      <w:pPr>
        <w:spacing w:after="0" w:before="60"/>
      </w:pPr>
      <w:r>
        <w:t xml:space="preserve"/>
      </w:r>
    </w:p>
    <w:p>
      <w:pPr>
        <w:pStyle w:val="Heading3"/>
        <w:spacing w:after="60" w:before="180"/>
      </w:pPr>
      <w:r>
        <w:rPr>
          <w:rFonts w:ascii="Arial" w:cs="Arial" w:eastAsia="Arial" w:hAnsi="Arial"/>
          <w:b/>
          <w:bCs/>
          <w:color w:val="333330"/>
          <w:sz w:val="22"/>
          <w:szCs w:val="22"/>
        </w:rPr>
        <w:t xml:space="preserve">Self-hosting (21 pages) — dashed divider with label: For users not using the Mistral API endpoint</w:t>
      </w:r>
    </w:p>
    <w:p>
      <w:pPr>
        <w:pStyle w:val="ListParagraph"/>
        <w:numPr>
          <w:ilvl w:val="0"/>
          <w:numId w:val="2"/>
        </w:numPr>
        <w:spacing w:after="40" w:before="40"/>
      </w:pPr>
      <w:r>
        <w:rPr>
          <w:rFonts w:ascii="Arial" w:cs="Arial" w:eastAsia="Arial" w:hAnsi="Arial"/>
          <w:sz w:val="22"/>
          <w:szCs w:val="22"/>
        </w:rPr>
        <w:t xml:space="preserve">Overview — serverless vs dedicated vs self-hosted decision guide</w:t>
      </w:r>
    </w:p>
    <w:p>
      <w:pPr>
        <w:pStyle w:val="ListParagraph"/>
        <w:numPr>
          <w:ilvl w:val="0"/>
          <w:numId w:val="2"/>
        </w:numPr>
        <w:spacing w:after="40" w:before="40"/>
      </w:pPr>
      <w:r>
        <w:rPr>
          <w:rFonts w:ascii="Arial" w:cs="Arial" w:eastAsia="Arial" w:hAnsi="Arial"/>
          <w:sz w:val="22"/>
          <w:szCs w:val="22"/>
        </w:rPr>
        <w:t xml:space="preserve">Cloud providers — Amazon Bedrock, Azure AI Foundry, IBM WatsonX, Outscale, Snowflake Cortex, Google Vertex AI</w:t>
      </w:r>
    </w:p>
    <w:p>
      <w:pPr>
        <w:pStyle w:val="ListParagraph"/>
        <w:numPr>
          <w:ilvl w:val="0"/>
          <w:numId w:val="2"/>
        </w:numPr>
        <w:spacing w:after="40" w:before="40"/>
      </w:pPr>
      <w:r>
        <w:rPr>
          <w:rFonts w:ascii="Arial" w:cs="Arial" w:eastAsia="Arial" w:hAnsi="Arial"/>
          <w:sz w:val="22"/>
          <w:szCs w:val="22"/>
        </w:rPr>
        <w:t xml:space="preserve">Local deployment — vLLM, TGI, TensorRT-LLM, SkyPilot, Cerebrium, Cloudflare Workers AI</w:t>
      </w:r>
    </w:p>
    <w:p>
      <w:pPr>
        <w:pStyle w:val="ListParagraph"/>
        <w:numPr>
          <w:ilvl w:val="0"/>
          <w:numId w:val="2"/>
        </w:numPr>
        <w:spacing w:after="40" w:before="40"/>
      </w:pPr>
      <w:r>
        <w:rPr>
          <w:rFonts w:ascii="Arial" w:cs="Arial" w:eastAsia="Arial" w:hAnsi="Arial"/>
          <w:sz w:val="22"/>
          <w:szCs w:val="22"/>
        </w:rPr>
        <w:t xml:space="preserve">Workflows in production — deployments, concurrency, rate limiting, execution context, error codes, reset</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Model cards and selection content go in the catalog. Anything requiring the user to run their own infrastructure goes in Self-hosting.</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4.3 Build (79 pages including Evaluate and Ship)</w:t>
      </w:r>
    </w:p>
    <w:p>
      <w:pPr>
        <w:spacing w:after="120" w:before="60"/>
      </w:pPr>
      <w:r>
        <w:rPr>
          <w:rFonts w:ascii="Arial" w:cs="Arial" w:eastAsia="Arial" w:hAnsi="Arial"/>
          <w:sz w:val="22"/>
          <w:szCs w:val="22"/>
        </w:rPr>
        <w:t xml:space="preserve">Build covers two phases: building with the API, and evaluating before ship. Same developer, same session. Evaluate and Ship appears at the bottom of the Build sidebar as the natural next step.</w:t>
      </w:r>
    </w:p>
    <w:p>
      <w:pPr>
        <w:spacing w:after="0" w:before="60"/>
      </w:pPr>
      <w:r>
        <w:t xml:space="preserve"/>
      </w:r>
    </w:p>
    <w:p>
      <w:pPr>
        <w:pStyle w:val="Heading3"/>
        <w:spacing w:after="60" w:before="180"/>
      </w:pPr>
      <w:r>
        <w:rPr>
          <w:rFonts w:ascii="Arial" w:cs="Arial" w:eastAsia="Arial" w:hAnsi="Arial"/>
          <w:b/>
          <w:bCs/>
          <w:color w:val="333330"/>
          <w:sz w:val="22"/>
          <w:szCs w:val="22"/>
        </w:rPr>
        <w:t xml:space="preserve">Building phase (70 pages)</w:t>
      </w:r>
    </w:p>
    <w:p>
      <w:pPr>
        <w:pStyle w:val="ListParagraph"/>
        <w:numPr>
          <w:ilvl w:val="0"/>
          <w:numId w:val="2"/>
        </w:numPr>
        <w:spacing w:after="40" w:before="40"/>
      </w:pPr>
      <w:r>
        <w:rPr>
          <w:rFonts w:ascii="Arial" w:cs="Arial" w:eastAsia="Arial" w:hAnsi="Arial"/>
          <w:sz w:val="22"/>
          <w:szCs w:val="22"/>
        </w:rPr>
        <w:t xml:space="preserve">Core completions — Chat and completions (3), Vision, Reasoning (3), Citations and references, Function calling, Structured outputs (3), Predicted outputs</w:t>
      </w:r>
    </w:p>
    <w:p>
      <w:pPr>
        <w:pStyle w:val="ListParagraph"/>
        <w:numPr>
          <w:ilvl w:val="0"/>
          <w:numId w:val="2"/>
        </w:numPr>
        <w:spacing w:after="40" w:before="40"/>
      </w:pPr>
      <w:r>
        <w:rPr>
          <w:rFonts w:ascii="Arial" w:cs="Arial" w:eastAsia="Arial" w:hAnsi="Arial"/>
          <w:sz w:val="22"/>
          <w:szCs w:val="22"/>
        </w:rPr>
        <w:t xml:space="preserve">Multimodal — Audio (4 pages: speech to text offline, realtime, text to speech, voices), Document processing (4 pages)</w:t>
      </w:r>
    </w:p>
    <w:p>
      <w:pPr>
        <w:pStyle w:val="ListParagraph"/>
        <w:numPr>
          <w:ilvl w:val="0"/>
          <w:numId w:val="2"/>
        </w:numPr>
        <w:spacing w:after="40" w:before="40"/>
      </w:pPr>
      <w:r>
        <w:rPr>
          <w:rFonts w:ascii="Arial" w:cs="Arial" w:eastAsia="Arial" w:hAnsi="Arial"/>
          <w:sz w:val="22"/>
          <w:szCs w:val="22"/>
        </w:rPr>
        <w:t xml:space="preserve">Knowledge — RAG quickstart, Text embeddings, Code embeddings, Libraries API, Connectors (4 pages)</w:t>
      </w:r>
    </w:p>
    <w:p>
      <w:pPr>
        <w:pStyle w:val="ListParagraph"/>
        <w:numPr>
          <w:ilvl w:val="0"/>
          <w:numId w:val="2"/>
        </w:numPr>
        <w:spacing w:after="40" w:before="40"/>
      </w:pPr>
      <w:r>
        <w:rPr>
          <w:rFonts w:ascii="Arial" w:cs="Arial" w:eastAsia="Arial" w:hAnsi="Arial"/>
          <w:sz w:val="22"/>
          <w:szCs w:val="22"/>
        </w:rPr>
        <w:t xml:space="preserve">Agents — Introduction, Conversations and memory, Tools (4: web search, code interpreter, image generation, function calling), Handoffs</w:t>
      </w:r>
    </w:p>
    <w:p>
      <w:pPr>
        <w:pStyle w:val="ListParagraph"/>
        <w:numPr>
          <w:ilvl w:val="0"/>
          <w:numId w:val="2"/>
        </w:numPr>
        <w:spacing w:after="40" w:before="40"/>
      </w:pPr>
      <w:r>
        <w:rPr>
          <w:rFonts w:ascii="Arial" w:cs="Arial" w:eastAsia="Arial" w:hAnsi="Arial"/>
          <w:sz w:val="22"/>
          <w:szCs w:val="22"/>
        </w:rPr>
        <w:t xml:space="preserve">Workflows — Getting started (9), Building (14), Interacting (4)</w:t>
      </w:r>
    </w:p>
    <w:p>
      <w:pPr>
        <w:pStyle w:val="ListParagraph"/>
        <w:numPr>
          <w:ilvl w:val="0"/>
          <w:numId w:val="2"/>
        </w:numPr>
        <w:spacing w:after="40" w:before="40"/>
      </w:pPr>
      <w:r>
        <w:rPr>
          <w:rFonts w:ascii="Arial" w:cs="Arial" w:eastAsia="Arial" w:hAnsi="Arial"/>
          <w:sz w:val="22"/>
          <w:szCs w:val="22"/>
        </w:rPr>
        <w:t xml:space="preserve">Scale — Batch processing</w:t>
      </w:r>
    </w:p>
    <w:p>
      <w:pPr>
        <w:spacing w:after="0" w:before="60"/>
      </w:pPr>
      <w:r>
        <w:t xml:space="preserve"/>
      </w:r>
    </w:p>
    <w:p>
      <w:pPr>
        <w:pStyle w:val="Heading3"/>
        <w:spacing w:after="60" w:before="180"/>
      </w:pPr>
      <w:r>
        <w:rPr>
          <w:rFonts w:ascii="Arial" w:cs="Arial" w:eastAsia="Arial" w:hAnsi="Arial"/>
          <w:b/>
          <w:bCs/>
          <w:color w:val="333330"/>
          <w:sz w:val="22"/>
          <w:szCs w:val="22"/>
        </w:rPr>
        <w:t xml:space="preserve">Evaluate and Ship phase (9 pages) — bottom of Build sidebar</w:t>
      </w:r>
    </w:p>
    <w:p>
      <w:pPr>
        <w:spacing w:after="120" w:before="60"/>
      </w:pPr>
      <w:r>
        <w:rPr>
          <w:rFonts w:ascii="Arial" w:cs="Arial" w:eastAsia="Arial" w:hAnsi="Arial"/>
          <w:sz w:val="22"/>
          <w:szCs w:val="22"/>
        </w:rPr>
        <w:t xml:space="preserve">Not a separate top-level section. Positioned at the bottom of Build to signal it is the next step in the developer workflow. A developer finishing the Agents guide sees Evaluate and Ship directly below in the nav.</w:t>
      </w:r>
    </w:p>
    <w:p>
      <w:pPr>
        <w:pStyle w:val="ListParagraph"/>
        <w:numPr>
          <w:ilvl w:val="0"/>
          <w:numId w:val="2"/>
        </w:numPr>
        <w:spacing w:after="40" w:before="40"/>
      </w:pPr>
      <w:r>
        <w:rPr>
          <w:rFonts w:ascii="Arial" w:cs="Arial" w:eastAsia="Arial" w:hAnsi="Arial"/>
          <w:sz w:val="22"/>
          <w:szCs w:val="22"/>
        </w:rPr>
        <w:t xml:space="preserve">Observability — Overview, Quickstart, Event explorer, Datasets, Eval campaigns, LLM judges, Workflow observability</w:t>
      </w:r>
    </w:p>
    <w:p>
      <w:pPr>
        <w:pStyle w:val="ListParagraph"/>
        <w:numPr>
          <w:ilvl w:val="0"/>
          <w:numId w:val="2"/>
        </w:numPr>
        <w:spacing w:after="40" w:before="40"/>
      </w:pPr>
      <w:r>
        <w:rPr>
          <w:rFonts w:ascii="Arial" w:cs="Arial" w:eastAsia="Arial" w:hAnsi="Arial"/>
          <w:sz w:val="22"/>
          <w:szCs w:val="22"/>
        </w:rPr>
        <w:t xml:space="preserve">Safety and moderation — Overview, Per-request moderation</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Build: does this page answer "how do I accomplish X via the API?" Evaluate and Ship: does this page answer "is this ready to ship?" Both belong in Build.</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4.4 Platform (29 pages)</w:t>
      </w:r>
    </w:p>
    <w:p>
      <w:pPr>
        <w:spacing w:after="120" w:before="60"/>
      </w:pPr>
      <w:r>
        <w:rPr>
          <w:rFonts w:ascii="Arial" w:cs="Arial" w:eastAsia="Arial" w:hAnsi="Arial"/>
          <w:sz w:val="22"/>
          <w:szCs w:val="22"/>
        </w:rPr>
        <w:t xml:space="preserve">Product surfaces. Studio API task guides live in Build. Platform documents the Studio console UI only — not the API.</w:t>
      </w:r>
    </w:p>
    <w:p>
      <w:pPr>
        <w:pStyle w:val="ListParagraph"/>
        <w:numPr>
          <w:ilvl w:val="0"/>
          <w:numId w:val="2"/>
        </w:numPr>
        <w:spacing w:after="40" w:before="40"/>
      </w:pPr>
      <w:r>
        <w:rPr>
          <w:rFonts w:ascii="Arial" w:cs="Arial" w:eastAsia="Arial" w:hAnsi="Arial"/>
          <w:sz w:val="22"/>
          <w:szCs w:val="22"/>
        </w:rPr>
        <w:t xml:space="preserve">Le Chat (20 pages) — Conversation (4), Content creation (3), Research and analysis (4), Knowledge and integrations (8)</w:t>
      </w:r>
    </w:p>
    <w:p>
      <w:pPr>
        <w:pStyle w:val="ListParagraph"/>
        <w:numPr>
          <w:ilvl w:val="0"/>
          <w:numId w:val="2"/>
        </w:numPr>
        <w:spacing w:after="40" w:before="40"/>
      </w:pPr>
      <w:r>
        <w:rPr>
          <w:rFonts w:ascii="Arial" w:cs="Arial" w:eastAsia="Arial" w:hAnsi="Arial"/>
          <w:sz w:val="22"/>
          <w:szCs w:val="22"/>
        </w:rPr>
        <w:t xml:space="preserve">Studio Console (1 page) — Overview, Playground, key management, usage monitoring</w:t>
      </w:r>
    </w:p>
    <w:p>
      <w:pPr>
        <w:pStyle w:val="ListParagraph"/>
        <w:numPr>
          <w:ilvl w:val="0"/>
          <w:numId w:val="2"/>
        </w:numPr>
        <w:spacing w:after="40" w:before="40"/>
      </w:pPr>
      <w:r>
        <w:rPr>
          <w:rFonts w:ascii="Arial" w:cs="Arial" w:eastAsia="Arial" w:hAnsi="Arial"/>
          <w:sz w:val="22"/>
          <w:szCs w:val="22"/>
        </w:rPr>
        <w:t xml:space="preserve">Mistral Vibe (8 pages) — Overview, Install, Quickstart, Configuration, Agents and skills, Offline / local, FIM API</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Does this page document a product UI surface? If it involves writing API calls or SDK code, it belongs in Build.</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4.5 Admin (17 pages)</w:t>
      </w:r>
    </w:p>
    <w:p>
      <w:pPr>
        <w:pStyle w:val="ListParagraph"/>
        <w:numPr>
          <w:ilvl w:val="0"/>
          <w:numId w:val="2"/>
        </w:numPr>
        <w:spacing w:after="40" w:before="40"/>
      </w:pPr>
      <w:r>
        <w:rPr>
          <w:rFonts w:ascii="Arial" w:cs="Arial" w:eastAsia="Arial" w:hAnsi="Arial"/>
          <w:sz w:val="22"/>
          <w:szCs w:val="22"/>
        </w:rPr>
        <w:t xml:space="preserve">Quickstarts — Create organisation, Configure SSO, Manage workspaces and API keys</w:t>
      </w:r>
    </w:p>
    <w:p>
      <w:pPr>
        <w:pStyle w:val="ListParagraph"/>
        <w:numPr>
          <w:ilvl w:val="0"/>
          <w:numId w:val="2"/>
        </w:numPr>
        <w:spacing w:after="40" w:before="40"/>
      </w:pPr>
      <w:r>
        <w:rPr>
          <w:rFonts w:ascii="Arial" w:cs="Arial" w:eastAsia="Arial" w:hAnsi="Arial"/>
          <w:sz w:val="22"/>
          <w:szCs w:val="22"/>
        </w:rPr>
        <w:t xml:space="preserve">Security and access — Admin panel, Organisations and workspaces, SSO, Email domain auth, API keys, Audit logs, Admin API, Privacy</w:t>
      </w:r>
    </w:p>
    <w:p>
      <w:pPr>
        <w:pStyle w:val="ListParagraph"/>
        <w:numPr>
          <w:ilvl w:val="0"/>
          <w:numId w:val="2"/>
        </w:numPr>
        <w:spacing w:after="40" w:before="40"/>
      </w:pPr>
      <w:r>
        <w:rPr>
          <w:rFonts w:ascii="Arial" w:cs="Arial" w:eastAsia="Arial" w:hAnsi="Arial"/>
          <w:sz w:val="22"/>
          <w:szCs w:val="22"/>
        </w:rPr>
        <w:t xml:space="preserve">User management and FinOps — User management, Subscriptions, Billing, Rate limits and usage tiers, Usage limits</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Is the primary reader an IT administrator or billing administrator?</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4.6 Reference (49 pages)</w:t>
      </w:r>
    </w:p>
    <w:p>
      <w:pPr>
        <w:pStyle w:val="ListParagraph"/>
        <w:numPr>
          <w:ilvl w:val="0"/>
          <w:numId w:val="2"/>
        </w:numPr>
        <w:spacing w:after="40" w:before="40"/>
      </w:pPr>
      <w:r>
        <w:rPr>
          <w:rFonts w:ascii="Arial" w:cs="Arial" w:eastAsia="Arial" w:hAnsi="Arial"/>
          <w:sz w:val="22"/>
          <w:szCs w:val="22"/>
        </w:rPr>
        <w:t xml:space="preserve">API reference — stable: Chat, Agents, Audio (3), Batch, Classifiers, Embeddings, Files, FIM, Fine-tuning, Models, OCR</w:t>
      </w:r>
    </w:p>
    <w:p>
      <w:pPr>
        <w:pStyle w:val="ListParagraph"/>
        <w:numPr>
          <w:ilvl w:val="0"/>
          <w:numId w:val="2"/>
        </w:numPr>
        <w:spacing w:after="40" w:before="40"/>
      </w:pPr>
      <w:r>
        <w:rPr>
          <w:rFonts w:ascii="Arial" w:cs="Arial" w:eastAsia="Arial" w:hAnsi="Arial"/>
          <w:sz w:val="22"/>
          <w:szCs w:val="22"/>
        </w:rPr>
        <w:t xml:space="preserve">API reference — beta: Agents, Conversations, Libraries (3), Observability (6), Workflows (7)</w:t>
      </w:r>
    </w:p>
    <w:p>
      <w:pPr>
        <w:pStyle w:val="ListParagraph"/>
        <w:numPr>
          <w:ilvl w:val="0"/>
          <w:numId w:val="2"/>
        </w:numPr>
        <w:spacing w:after="40" w:before="40"/>
      </w:pPr>
      <w:r>
        <w:rPr>
          <w:rFonts w:ascii="Arial" w:cs="Arial" w:eastAsia="Arial" w:hAnsi="Arial"/>
          <w:sz w:val="22"/>
          <w:szCs w:val="22"/>
        </w:rPr>
        <w:t xml:space="preserve">API reference — deprecated: Agents, Fine-tuning</w:t>
      </w:r>
    </w:p>
    <w:p>
      <w:pPr>
        <w:pStyle w:val="ListParagraph"/>
        <w:numPr>
          <w:ilvl w:val="0"/>
          <w:numId w:val="2"/>
        </w:numPr>
        <w:spacing w:after="40" w:before="40"/>
      </w:pPr>
      <w:r>
        <w:rPr>
          <w:rFonts w:ascii="Arial" w:cs="Arial" w:eastAsia="Arial" w:hAnsi="Arial"/>
          <w:sz w:val="22"/>
          <w:szCs w:val="22"/>
        </w:rPr>
        <w:t xml:space="preserve">SDKs — Python, TypeScript, other languages</w:t>
      </w:r>
    </w:p>
    <w:p>
      <w:pPr>
        <w:pStyle w:val="ListParagraph"/>
        <w:numPr>
          <w:ilvl w:val="0"/>
          <w:numId w:val="2"/>
        </w:numPr>
        <w:spacing w:after="40" w:before="40"/>
      </w:pPr>
      <w:r>
        <w:rPr>
          <w:rFonts w:ascii="Arial" w:cs="Arial" w:eastAsia="Arial" w:hAnsi="Arial"/>
          <w:sz w:val="22"/>
          <w:szCs w:val="22"/>
        </w:rPr>
        <w:t xml:space="preserve">Errors and troubleshooting — Error glossary, Known limitations</w:t>
      </w:r>
    </w:p>
    <w:p>
      <w:pPr>
        <w:pStyle w:val="ListParagraph"/>
        <w:numPr>
          <w:ilvl w:val="0"/>
          <w:numId w:val="2"/>
        </w:numPr>
        <w:spacing w:after="40" w:before="40"/>
      </w:pPr>
      <w:r>
        <w:rPr>
          <w:rFonts w:ascii="Arial" w:cs="Arial" w:eastAsia="Arial" w:hAnsi="Arial"/>
          <w:sz w:val="22"/>
          <w:szCs w:val="22"/>
        </w:rPr>
        <w:t xml:space="preserve">Operations — Observability integrations, Migration guides, Changelog, Glossary, Robots and crawlers</w:t>
      </w:r>
    </w:p>
    <w:p>
      <w:pPr>
        <w:pStyle w:val="ListParagraph"/>
        <w:numPr>
          <w:ilvl w:val="0"/>
          <w:numId w:val="2"/>
        </w:numPr>
        <w:spacing w:after="40" w:before="40"/>
      </w:pPr>
      <w:r>
        <w:rPr>
          <w:rFonts w:ascii="Arial" w:cs="Arial" w:eastAsia="Arial" w:hAnsi="Arial"/>
          <w:sz w:val="22"/>
          <w:szCs w:val="22"/>
        </w:rPr>
        <w:t xml:space="preserve">Deprecated docs — Model customization, Fine-tuning (3), Guardrailing (2)</w:t>
      </w:r>
    </w:p>
    <w:p>
      <w:pPr>
        <w:spacing w:after="0" w:before="60"/>
      </w:pPr>
      <w:r>
        <w:t xml:space="preserve"/>
      </w:r>
    </w:p>
    <w:p>
      <w:pPr>
        <w:spacing w:after="120" w:before="60"/>
      </w:pPr>
      <w:r>
        <w:rPr>
          <w:rFonts w:ascii="Arial" w:cs="Arial" w:eastAsia="Arial" w:hAnsi="Arial"/>
          <w:b/>
          <w:bCs/>
          <w:sz w:val="22"/>
          <w:szCs w:val="22"/>
        </w:rPr>
        <w:t xml:space="preserve">Writer rule: </w:t>
      </w:r>
      <w:r>
        <w:rPr>
          <w:rFonts w:ascii="Arial" w:cs="Arial" w:eastAsia="Arial" w:hAnsi="Arial"/>
          <w:sz w:val="22"/>
          <w:szCs w:val="22"/>
        </w:rPr>
        <w:t xml:space="preserve">Is this an exact technical specification — endpoint, schema, parameter, error code? Never explanatory prose.</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4.7 Cookbooks (127 pages) — header utility link, not primary nav</w:t>
      </w:r>
    </w:p>
    <w:p>
      <w:pPr>
        <w:spacing w:after="120" w:before="60"/>
      </w:pPr>
      <w:r>
        <w:rPr>
          <w:rFonts w:ascii="Arial" w:cs="Arial" w:eastAsia="Arial" w:hAnsi="Arial"/>
          <w:sz w:val="22"/>
          <w:szCs w:val="22"/>
        </w:rPr>
        <w:t xml:space="preserve">Cookbooks are task-oriented code examples. Primary discovery is inline from Build pages. The Cookbooks section is a browsable landing page with a topic filter mirroring Build. Entry from outside Build uses a utility link in the doc header, keeping the primary nav at six items.</w:t>
      </w:r>
    </w:p>
    <w:p>
      <w:pPr>
        <w:pStyle w:val="ListParagraph"/>
        <w:numPr>
          <w:ilvl w:val="0"/>
          <w:numId w:val="2"/>
        </w:numPr>
        <w:spacing w:after="40" w:before="40"/>
      </w:pPr>
      <w:r>
        <w:rPr>
          <w:rFonts w:ascii="Arial" w:cs="Arial" w:eastAsia="Arial" w:hAnsi="Arial"/>
          <w:sz w:val="22"/>
          <w:szCs w:val="22"/>
        </w:rPr>
        <w:t xml:space="preserve">Concept deep dives — Prompting, Quantization (6), Sampling (4), Tokenization (8)</w:t>
      </w:r>
    </w:p>
    <w:p>
      <w:pPr>
        <w:pStyle w:val="ListParagraph"/>
        <w:numPr>
          <w:ilvl w:val="0"/>
          <w:numId w:val="2"/>
        </w:numPr>
        <w:spacing w:after="40" w:before="40"/>
      </w:pPr>
      <w:r>
        <w:rPr>
          <w:rFonts w:ascii="Arial" w:cs="Arial" w:eastAsia="Arial" w:hAnsi="Arial"/>
          <w:sz w:val="22"/>
          <w:szCs w:val="22"/>
        </w:rPr>
        <w:t xml:space="preserve">Task examples — Chat, RAG, Embeddings, Function calling, Agents (11), Connectors, Document processing (8), Vision, Safety, Classification, Evaluation, Fine-tuning, Le Chat and MCP</w:t>
      </w:r>
    </w:p>
    <w:p>
      <w:pPr>
        <w:pStyle w:val="ListParagraph"/>
        <w:numPr>
          <w:ilvl w:val="0"/>
          <w:numId w:val="2"/>
        </w:numPr>
        <w:spacing w:after="40" w:before="40"/>
      </w:pPr>
      <w:r>
        <w:rPr>
          <w:rFonts w:ascii="Arial" w:cs="Arial" w:eastAsia="Arial" w:hAnsi="Arial"/>
          <w:sz w:val="22"/>
          <w:szCs w:val="22"/>
        </w:rPr>
        <w:t xml:space="preserve">Third-party integrations — LangChain, LlamaIndex (13), PydanticAI, vector stores (7), observability tools (7), UI and deployment tools (12)</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5. Use Case Taxonomy for Build</w:t>
      </w:r>
    </w:p>
    <w:p>
      <w:pPr>
        <w:spacing w:after="120" w:before="60"/>
      </w:pPr>
      <w:r>
        <w:rPr>
          <w:rFonts w:ascii="Arial" w:cs="Arial" w:eastAsia="Arial" w:hAnsi="Arial"/>
          <w:sz w:val="22"/>
          <w:szCs w:val="22"/>
        </w:rPr>
        <w:t xml:space="preserve">Each Build page is tagged with one or more use cases. These tags power a filter on the Build landing page and also surface related Cookbooks inline from Build pages.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63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sz w:val="22"/>
                <w:szCs w:val="22"/>
              </w:rPr>
              <w:t xml:space="preserve">Primary capabilities</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Document intelligence</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Document processing, OCR, annotations, batch processing, vision</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Knowledge retrieval and RAG</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Embeddings, Knowledge and RAG, Libraries API, connectors</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Agents and automation</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Agents, function calling, handoffs, connectors, workflows</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Code generation</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Chat and completions (code focus), function calling, structured outputs</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Conversational AI</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Chat and completions, reasoning, citations, structured outputs</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extraction and classification</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Structured outputs, function calling, batch processing, document processing</w:t>
            </w:r>
          </w:p>
        </w:tc>
      </w:tr>
      <w:tr>
        <w:tc>
          <w:tcPr>
            <w:tcW w:type="dxa" w:w="30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Voice and transcription</w:t>
            </w:r>
          </w:p>
        </w:tc>
        <w:tc>
          <w:tcPr>
            <w:tcW w:type="dxa" w:w="63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Audio: speech to text, text to speech</w:t>
            </w:r>
          </w:p>
        </w:tc>
      </w:tr>
    </w:tbl>
    <w:p>
      <w:pPr>
        <w:spacing w:after="0" w:before="120"/>
      </w:pPr>
      <w:r>
        <w:t xml:space="preserve"/>
      </w:r>
    </w:p>
    <w:p>
      <w:pPr>
        <w:spacing w:after="120" w:before="60"/>
      </w:pPr>
      <w:r>
        <w:rPr>
          <w:rFonts w:ascii="Arial" w:cs="Arial" w:eastAsia="Arial" w:hAnsi="Arial"/>
          <w:sz w:val="22"/>
          <w:szCs w:val="22"/>
        </w:rPr>
        <w:t xml:space="preserve">Sovereign deployment and multilingual are cross-cutting properties, not discrete use cases. Sovereign deployment is handled as a homepage entry point and a dedicated section in Models &gt; Self-hosting. Multilingual is surfaced as a tag on relevant model cards and capability pages.</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6. Landing Page Design</w:t>
      </w:r>
    </w:p>
    <w:p>
      <w:pPr>
        <w:spacing w:after="120" w:before="60"/>
      </w:pPr>
      <w:r>
        <w:rPr>
          <w:rFonts w:ascii="Arial" w:cs="Arial" w:eastAsia="Arial" w:hAnsi="Arial"/>
          <w:sz w:val="22"/>
          <w:szCs w:val="22"/>
        </w:rPr>
        <w:t xml:space="preserve">The documentation homepage should route users to the right starting point before they hit the nav. Every user arriving answers one of four questions.</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Four persona entry points —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sz w:val="22"/>
                <w:szCs w:val="22"/>
              </w:rPr>
              <w:t xml:space="preserve">Entry point</w:t>
            </w:r>
          </w:p>
        </w:tc>
        <w:tc>
          <w:tcPr>
            <w:tcW w:type="dxa" w:w="69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sz w:val="22"/>
                <w:szCs w:val="22"/>
              </w:rPr>
              <w:t xml:space="preserve">Destination</w:t>
            </w:r>
          </w:p>
        </w:tc>
      </w:tr>
      <w:tr>
        <w:tc>
          <w:tcPr>
            <w:tcW w:type="dxa" w:w="2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Build with the API</w:t>
            </w:r>
          </w:p>
        </w:tc>
        <w:tc>
          <w:tcPr>
            <w:tcW w:type="dxa" w:w="6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Developer quickstart</w:t>
            </w:r>
          </w:p>
        </w:tc>
      </w:tr>
      <w:tr>
        <w:tc>
          <w:tcPr>
            <w:tcW w:type="dxa" w:w="2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 Le Chat</w:t>
            </w:r>
          </w:p>
        </w:tc>
        <w:tc>
          <w:tcPr>
            <w:tcW w:type="dxa" w:w="6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Le Chat overview in Platform</w:t>
            </w:r>
          </w:p>
        </w:tc>
      </w:tr>
      <w:tr>
        <w:tc>
          <w:tcPr>
            <w:tcW w:type="dxa" w:w="2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Set up your organisation</w:t>
            </w:r>
          </w:p>
        </w:tc>
        <w:tc>
          <w:tcPr>
            <w:tcW w:type="dxa" w:w="6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Admin quickstart</w:t>
            </w:r>
          </w:p>
        </w:tc>
      </w:tr>
      <w:tr>
        <w:tc>
          <w:tcPr>
            <w:tcW w:type="dxa" w:w="2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Deploy on your own infrastructure</w:t>
            </w:r>
          </w:p>
        </w:tc>
        <w:tc>
          <w:tcPr>
            <w:tcW w:type="dxa" w:w="6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Self-hosting overview in Models — featured visually as a sovereign deployment path</w:t>
            </w:r>
          </w:p>
        </w:tc>
      </w:tr>
    </w:tbl>
    <w:p>
      <w:pPr>
        <w:spacing w:after="0" w:before="120"/>
      </w:pPr>
      <w:r>
        <w:t xml:space="preserve"/>
      </w:r>
    </w:p>
    <w:p>
      <w:pPr>
        <w:spacing w:after="120" w:before="60"/>
      </w:pPr>
      <w:r>
        <w:rPr>
          <w:rFonts w:ascii="Arial" w:cs="Arial" w:eastAsia="Arial" w:hAnsi="Arial"/>
          <w:sz w:val="22"/>
          <w:szCs w:val="22"/>
        </w:rPr>
        <w:t xml:space="preserve">The sovereign deployment entry point signals to European enterprises, regulated industries, and government customers that self-hosting is a first-class option. This is a conversion message as much as a navigation decision.</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Below the fold</w:t>
      </w:r>
    </w:p>
    <w:p>
      <w:pPr>
        <w:pStyle w:val="ListParagraph"/>
        <w:numPr>
          <w:ilvl w:val="0"/>
          <w:numId w:val="2"/>
        </w:numPr>
        <w:spacing w:after="40" w:before="40"/>
      </w:pPr>
      <w:r>
        <w:rPr>
          <w:rFonts w:ascii="Arial" w:cs="Arial" w:eastAsia="Arial" w:hAnsi="Arial"/>
          <w:sz w:val="22"/>
          <w:szCs w:val="22"/>
        </w:rPr>
        <w:t xml:space="preserve">Journey strip — Get Started, Build (with Evaluate and Ship), Reference — secondary orientation for developers who want to understand the structure.</w:t>
      </w:r>
    </w:p>
    <w:p>
      <w:pPr>
        <w:pStyle w:val="ListParagraph"/>
        <w:numPr>
          <w:ilvl w:val="0"/>
          <w:numId w:val="2"/>
        </w:numPr>
        <w:spacing w:after="40" w:before="40"/>
      </w:pPr>
      <w:r>
        <w:rPr>
          <w:rFonts w:ascii="Arial" w:cs="Arial" w:eastAsia="Arial" w:hAnsi="Arial"/>
          <w:sz w:val="22"/>
          <w:szCs w:val="22"/>
        </w:rPr>
        <w:t xml:space="preserve">Quickstarts by product — fast paths for Le Chat, Developer API, and Vibe.</w:t>
      </w:r>
    </w:p>
    <w:p>
      <w:pPr>
        <w:pStyle w:val="ListParagraph"/>
        <w:numPr>
          <w:ilvl w:val="0"/>
          <w:numId w:val="2"/>
        </w:numPr>
        <w:spacing w:after="40" w:before="40"/>
      </w:pPr>
      <w:r>
        <w:rPr>
          <w:rFonts w:ascii="Arial" w:cs="Arial" w:eastAsia="Arial" w:hAnsi="Arial"/>
          <w:sz w:val="22"/>
          <w:szCs w:val="22"/>
        </w:rPr>
        <w:t xml:space="preserve">Model showcase — featured and latest models. The existing implementation is good and should be preserved.</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7. Cookbooks Navigation Design</w:t>
      </w:r>
    </w:p>
    <w:p>
      <w:pPr>
        <w:spacing w:after="120" w:before="60"/>
      </w:pPr>
      <w:r>
        <w:rPr>
          <w:rFonts w:ascii="Arial" w:cs="Arial" w:eastAsia="Arial" w:hAnsi="Arial"/>
          <w:sz w:val="22"/>
          <w:szCs w:val="22"/>
        </w:rPr>
        <w:t xml:space="preserve">Cookbooks is the only section without a primary nav slot. Six top-level items (Get Started, Models, Build, Platform, Admin, Reference) is the cognitive load ceiling. Eight items — adding Evaluate and Ship and Cookbooks separately — exceeds it.</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How developers reach Cookbooks</w:t>
      </w:r>
    </w:p>
    <w:p>
      <w:pPr>
        <w:pStyle w:val="Heading3"/>
        <w:spacing w:after="60" w:before="180"/>
      </w:pPr>
      <w:r>
        <w:rPr>
          <w:rFonts w:ascii="Arial" w:cs="Arial" w:eastAsia="Arial" w:hAnsi="Arial"/>
          <w:b/>
          <w:bCs/>
          <w:color w:val="333330"/>
          <w:sz w:val="22"/>
          <w:szCs w:val="22"/>
        </w:rPr>
        <w:t xml:space="preserve">Primary — inline from Build pages</w:t>
      </w:r>
    </w:p>
    <w:p>
      <w:pPr>
        <w:spacing w:after="120" w:before="60"/>
      </w:pPr>
      <w:r>
        <w:rPr>
          <w:rFonts w:ascii="Arial" w:cs="Arial" w:eastAsia="Arial" w:hAnsi="Arial"/>
          <w:sz w:val="22"/>
          <w:szCs w:val="22"/>
        </w:rPr>
        <w:t xml:space="preserve">Every Build page shows a "Related examples" block surfacing 1-3 relevant cookbooks, with a "Browse all [topic] cookbooks" link to the Cookbooks landing page filtered to the relevant topic. Most developers never seek out Cookbooks directly — they find them as related examples while reading Build guides.</w:t>
      </w:r>
    </w:p>
    <w:p>
      <w:pPr>
        <w:spacing w:after="0" w:before="60"/>
      </w:pPr>
      <w:r>
        <w:t xml:space="preserve"/>
      </w:r>
    </w:p>
    <w:p>
      <w:pPr>
        <w:pStyle w:val="Heading3"/>
        <w:spacing w:after="60" w:before="180"/>
      </w:pPr>
      <w:r>
        <w:rPr>
          <w:rFonts w:ascii="Arial" w:cs="Arial" w:eastAsia="Arial" w:hAnsi="Arial"/>
          <w:b/>
          <w:bCs/>
          <w:color w:val="333330"/>
          <w:sz w:val="22"/>
          <w:szCs w:val="22"/>
        </w:rPr>
        <w:t xml:space="preserve">Secondary — utility link in the documentation header</w:t>
      </w:r>
    </w:p>
    <w:p>
      <w:pPr>
        <w:spacing w:after="120" w:before="60"/>
      </w:pPr>
      <w:r>
        <w:rPr>
          <w:rFonts w:ascii="Arial" w:cs="Arial" w:eastAsia="Arial" w:hAnsi="Arial"/>
          <w:sz w:val="22"/>
          <w:szCs w:val="22"/>
        </w:rPr>
        <w:t xml:space="preserve">A persistent "Cookbooks" link in the doc header makes the section accessible from anywhere without consuming a primary nav slot. This follows Mistral's own existing header convention — the current documentation already shows [Docs | API | Cookbooks | Ambassadors] in the header — and matches the established pattern for supplementary browsable content in developer documentation.</w:t>
      </w:r>
    </w:p>
    <w:p>
      <w:pPr>
        <w:spacing w:after="0" w:before="60"/>
      </w:pPr>
      <w:r>
        <w:t xml:space="preserve"/>
      </w:r>
    </w:p>
    <w:p>
      <w:pPr>
        <w:pStyle w:val="Heading3"/>
        <w:spacing w:after="60" w:before="180"/>
      </w:pPr>
      <w:r>
        <w:rPr>
          <w:rFonts w:ascii="Arial" w:cs="Arial" w:eastAsia="Arial" w:hAnsi="Arial"/>
          <w:b/>
          <w:bCs/>
          <w:color w:val="333330"/>
          <w:sz w:val="22"/>
          <w:szCs w:val="22"/>
        </w:rPr>
        <w:t xml:space="preserve">Tertiary paths</w:t>
      </w:r>
    </w:p>
    <w:p>
      <w:pPr>
        <w:pStyle w:val="ListParagraph"/>
        <w:numPr>
          <w:ilvl w:val="0"/>
          <w:numId w:val="2"/>
        </w:numPr>
        <w:spacing w:after="40" w:before="40"/>
      </w:pPr>
      <w:r>
        <w:rPr>
          <w:rFonts w:ascii="Arial" w:cs="Arial" w:eastAsia="Arial" w:hAnsi="Arial"/>
          <w:sz w:val="22"/>
          <w:szCs w:val="22"/>
        </w:rPr>
        <w:t xml:space="preserve">Search — Cookbooks are indexed and appear in results for task queries.</w:t>
      </w:r>
    </w:p>
    <w:p>
      <w:pPr>
        <w:pStyle w:val="ListParagraph"/>
        <w:numPr>
          <w:ilvl w:val="0"/>
          <w:numId w:val="2"/>
        </w:numPr>
        <w:spacing w:after="40" w:before="40"/>
      </w:pPr>
      <w:r>
        <w:rPr>
          <w:rFonts w:ascii="Arial" w:cs="Arial" w:eastAsia="Arial" w:hAnsi="Arial"/>
          <w:sz w:val="22"/>
          <w:szCs w:val="22"/>
        </w:rPr>
        <w:t xml:space="preserve">Model cards — individual model cards cross-link to cookbooks featuring that model.</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8. Content Placement Rules</w:t>
      </w:r>
    </w:p>
    <w:p>
      <w:pPr>
        <w:spacing w:after="120" w:before="60"/>
      </w:pPr>
      <w:r>
        <w:rPr>
          <w:rFonts w:ascii="Arial" w:cs="Arial" w:eastAsia="Arial" w:hAnsi="Arial"/>
          <w:sz w:val="22"/>
          <w:szCs w:val="22"/>
        </w:rPr>
        <w:t xml:space="preserve">For any new page, identify which rule it satisfies. If it satisfies none, either the page is not needed or the taxonomy requires extension.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0F6E56"/>
                <w:sz w:val="21"/>
                <w:szCs w:val="21"/>
              </w:rPr>
              <w:t xml:space="preserve">Get Started</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Does a new user need this in their first 15 minutes to achieve their first success?</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B07015"/>
                <w:sz w:val="21"/>
                <w:szCs w:val="21"/>
              </w:rPr>
              <w:t xml:space="preserve">Models — catalog</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Is this a model card (specs, pricing, context window) or a model selection guide?</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B07015"/>
                <w:sz w:val="21"/>
                <w:szCs w:val="21"/>
              </w:rPr>
              <w:t xml:space="preserve">Models — self-hosting</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Does this require the user to run their own infrastructure rather than calling the Mistral API endpoint?</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D5FAA"/>
                <w:sz w:val="21"/>
                <w:szCs w:val="21"/>
              </w:rPr>
              <w:t xml:space="preserve">Build — building phase</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Does this answer "how do I accomplish X via the Mistral API?" Shape: goal, concept, code, links to Reference. Tag with use cases. Surface 1-3 Cookbooks inline.</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D5FAA"/>
                <w:sz w:val="21"/>
                <w:szCs w:val="21"/>
              </w:rPr>
              <w:t xml:space="preserve">Build — evaluate and ship</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Does this answer "is this output good enough to ship?" — evals, quality assessment, safety gates, pre-production checks.</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72243E"/>
                <w:sz w:val="21"/>
                <w:szCs w:val="21"/>
              </w:rPr>
              <w:t xml:space="preserve">Platform</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Does this document a product UI surface (Le Chat, Studio console, Vibe CLI) rather than how to write code against the API?</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3B6D11"/>
                <w:sz w:val="21"/>
                <w:szCs w:val="21"/>
              </w:rPr>
              <w:t xml:space="preserve">Admin</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Is the primary reader an IT administrator or billing administrator?</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534AB7"/>
                <w:sz w:val="21"/>
                <w:szCs w:val="21"/>
              </w:rPr>
              <w:t xml:space="preserve">Reference</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Is this an exact technical specification — endpoint, schema, parameter, error code? Never explanatory prose.</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0F6E56"/>
                <w:sz w:val="21"/>
                <w:szCs w:val="21"/>
              </w:rPr>
              <w:t xml:space="preserve">Cookbooks</w:t>
            </w:r>
          </w:p>
        </w:tc>
        <w:tc>
          <w:tcPr>
            <w:tcW w:type="dxa" w:w="7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1"/>
                <w:szCs w:val="21"/>
              </w:rPr>
              <w:t xml:space="preserve">Is this a runnable code example illustrating one or more Build tasks? Cross-link from the relevant Build page.</w:t>
            </w:r>
          </w:p>
        </w:tc>
      </w:tr>
    </w:tbl>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9. Product Improvement Recommendations</w:t>
      </w:r>
    </w:p>
    <w:p>
      <w:pPr>
        <w:spacing w:after="120" w:before="60"/>
      </w:pPr>
      <w:r>
        <w:rPr>
          <w:rFonts w:ascii="Arial" w:cs="Arial" w:eastAsia="Arial" w:hAnsi="Arial"/>
          <w:sz w:val="22"/>
          <w:szCs w:val="22"/>
        </w:rPr>
        <w:t xml:space="preserve">The following require product changes — navigation UI, URL architecture, or tagging infrastructure — rather than content reorganisation alone.</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High priority</w:t>
      </w:r>
    </w:p>
    <w:p>
      <w:pPr>
        <w:pStyle w:val="Heading3"/>
        <w:spacing w:after="60" w:before="180"/>
      </w:pPr>
      <w:r>
        <w:rPr>
          <w:rFonts w:ascii="Arial" w:cs="Arial" w:eastAsia="Arial" w:hAnsi="Arial"/>
          <w:b/>
          <w:bCs/>
          <w:color w:val="993C1D"/>
          <w:sz w:val="22"/>
          <w:szCs w:val="22"/>
        </w:rPr>
        <w:t xml:space="preserve">Resolve duplicate URLs</w:t>
      </w:r>
    </w:p>
    <w:p>
      <w:pPr>
        <w:spacing w:after="120" w:before="60"/>
      </w:pPr>
      <w:r>
        <w:rPr>
          <w:rFonts w:ascii="Arial" w:cs="Arial" w:eastAsia="Arial" w:hAnsi="Arial"/>
          <w:sz w:val="22"/>
          <w:szCs w:val="22"/>
        </w:rPr>
        <w:t xml:space="preserve">Developer quickstarts appear at both /developers/quickstarts/* and /getting-started/quickstarts/developer/*. Le Chat quickstarts appear at both /le-chat/quickstarts/* and /getting-started/quickstarts/le-chat/*. Establish canonical URLs at /getting-started/quickstarts/* with 301 redirects from the duplicates.</w:t>
      </w:r>
    </w:p>
    <w:p>
      <w:pPr>
        <w:spacing w:after="0" w:before="60"/>
      </w:pPr>
      <w:r>
        <w:t xml:space="preserve"/>
      </w:r>
    </w:p>
    <w:p>
      <w:pPr>
        <w:pStyle w:val="Heading3"/>
        <w:spacing w:after="60" w:before="180"/>
      </w:pPr>
      <w:r>
        <w:rPr>
          <w:rFonts w:ascii="Arial" w:cs="Arial" w:eastAsia="Arial" w:hAnsi="Arial"/>
          <w:b/>
          <w:bCs/>
          <w:color w:val="993C1D"/>
          <w:sz w:val="22"/>
          <w:szCs w:val="22"/>
        </w:rPr>
        <w:t xml:space="preserve">Retire legacy capability URLs</w:t>
      </w:r>
    </w:p>
    <w:p>
      <w:pPr>
        <w:spacing w:after="120" w:before="60"/>
      </w:pPr>
      <w:r>
        <w:rPr>
          <w:rFonts w:ascii="Arial" w:cs="Arial" w:eastAsia="Arial" w:hAnsi="Arial"/>
          <w:sz w:val="22"/>
          <w:szCs w:val="22"/>
        </w:rPr>
        <w:t xml:space="preserve">Approximately 35 pages at /capabilities/*, /agents/*, and /deployment/* still resolve and appear in search engine indexes. A redirect strategy should map each legacy URL to its canonical replacement.</w:t>
      </w:r>
    </w:p>
    <w:p>
      <w:pPr>
        <w:spacing w:after="0" w:before="60"/>
      </w:pPr>
      <w:r>
        <w:t xml:space="preserve"/>
      </w:r>
    </w:p>
    <w:p>
      <w:pPr>
        <w:pStyle w:val="Heading3"/>
        <w:spacing w:after="60" w:before="180"/>
      </w:pPr>
      <w:r>
        <w:rPr>
          <w:rFonts w:ascii="Arial" w:cs="Arial" w:eastAsia="Arial" w:hAnsi="Arial"/>
          <w:b/>
          <w:bCs/>
          <w:color w:val="993C1D"/>
          <w:sz w:val="22"/>
          <w:szCs w:val="22"/>
        </w:rPr>
        <w:t xml:space="preserve">Strengthen Admin visual separation in the product switcher</w:t>
      </w:r>
    </w:p>
    <w:p>
      <w:pPr>
        <w:spacing w:after="120" w:before="60"/>
      </w:pPr>
      <w:r>
        <w:rPr>
          <w:rFonts w:ascii="Arial" w:cs="Arial" w:eastAsia="Arial" w:hAnsi="Arial"/>
          <w:sz w:val="22"/>
          <w:szCs w:val="22"/>
        </w:rPr>
        <w:t xml:space="preserve">The product switcher correctly divides Admin from Le Chat and Studio, but all four items receive identical visual treatment. A label such as "Organisation" above the Admin item, or reduced visual weight, would reinforce the categorical distinction. The divider alone is a weak signal.</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Medium priority</w:t>
      </w:r>
    </w:p>
    <w:p>
      <w:pPr>
        <w:pStyle w:val="Heading3"/>
        <w:spacing w:after="60" w:before="180"/>
      </w:pPr>
      <w:r>
        <w:rPr>
          <w:rFonts w:ascii="Arial" w:cs="Arial" w:eastAsia="Arial" w:hAnsi="Arial"/>
          <w:b/>
          <w:bCs/>
          <w:color w:val="B07015"/>
          <w:sz w:val="22"/>
          <w:szCs w:val="22"/>
        </w:rPr>
        <w:t xml:space="preserve">Add use case tagging infrastructure to Build</w:t>
      </w:r>
    </w:p>
    <w:p>
      <w:pPr>
        <w:spacing w:after="120" w:before="60"/>
      </w:pPr>
      <w:r>
        <w:rPr>
          <w:rFonts w:ascii="Arial" w:cs="Arial" w:eastAsia="Arial" w:hAnsi="Arial"/>
          <w:sz w:val="22"/>
          <w:szCs w:val="22"/>
        </w:rPr>
        <w:t xml:space="preserve">The use case taxonomy in Section 5 requires metadata fields for use case tags on each Build page, and a filter component on the Build landing page that assembles tagged pages and related Cookbooks dynamically.</w:t>
      </w:r>
    </w:p>
    <w:p>
      <w:pPr>
        <w:spacing w:after="0" w:before="60"/>
      </w:pPr>
      <w:r>
        <w:t xml:space="preserve"/>
      </w:r>
    </w:p>
    <w:p>
      <w:pPr>
        <w:pStyle w:val="Heading3"/>
        <w:spacing w:after="60" w:before="180"/>
      </w:pPr>
      <w:r>
        <w:rPr>
          <w:rFonts w:ascii="Arial" w:cs="Arial" w:eastAsia="Arial" w:hAnsi="Arial"/>
          <w:b/>
          <w:bCs/>
          <w:color w:val="B07015"/>
          <w:sz w:val="22"/>
          <w:szCs w:val="22"/>
        </w:rPr>
        <w:t xml:space="preserve">Add inline cookbook surfacing to Build pages</w:t>
      </w:r>
    </w:p>
    <w:p>
      <w:pPr>
        <w:spacing w:after="120" w:before="60"/>
      </w:pPr>
      <w:r>
        <w:rPr>
          <w:rFonts w:ascii="Arial" w:cs="Arial" w:eastAsia="Arial" w:hAnsi="Arial"/>
          <w:sz w:val="22"/>
          <w:szCs w:val="22"/>
        </w:rPr>
        <w:t xml:space="preserve">A "Related examples" component on each Build page surfaces 1-3 relevant cookbooks, populated by use case tags.</w:t>
      </w:r>
    </w:p>
    <w:p>
      <w:pPr>
        <w:spacing w:after="0" w:before="60"/>
      </w:pPr>
      <w:r>
        <w:t xml:space="preserve"/>
      </w:r>
    </w:p>
    <w:p>
      <w:pPr>
        <w:pStyle w:val="Heading3"/>
        <w:spacing w:after="60" w:before="180"/>
      </w:pPr>
      <w:r>
        <w:rPr>
          <w:rFonts w:ascii="Arial" w:cs="Arial" w:eastAsia="Arial" w:hAnsi="Arial"/>
          <w:b/>
          <w:bCs/>
          <w:color w:val="B07015"/>
          <w:sz w:val="22"/>
          <w:szCs w:val="22"/>
        </w:rPr>
        <w:t xml:space="preserve">Ensure Cookbooks appears as a utility link in the documentation header</w:t>
      </w:r>
    </w:p>
    <w:p>
      <w:pPr>
        <w:spacing w:after="120" w:before="60"/>
      </w:pPr>
      <w:r>
        <w:rPr>
          <w:rFonts w:ascii="Arial" w:cs="Arial" w:eastAsia="Arial" w:hAnsi="Arial"/>
          <w:sz w:val="22"/>
          <w:szCs w:val="22"/>
        </w:rPr>
        <w:t xml:space="preserve">Following the existing [Docs | API | Cookbooks | Ambassadors] header convention, ensure Cookbooks is present as a persistent utility link in the documentation header accessible from all sections.</w:t>
      </w:r>
    </w:p>
    <w:p>
      <w:pPr>
        <w:spacing w:after="0" w:before="120"/>
      </w:pPr>
      <w:r>
        <w:t xml:space="preserve"/>
      </w:r>
    </w:p>
    <w:p>
      <w:pPr>
        <w:pStyle w:val="Heading2"/>
        <w:spacing w:after="80" w:before="240"/>
      </w:pPr>
      <w:r>
        <w:rPr>
          <w:rFonts w:ascii="Arial" w:cs="Arial" w:eastAsia="Arial" w:hAnsi="Arial"/>
          <w:b/>
          <w:bCs/>
          <w:color w:val="1A1A18"/>
          <w:sz w:val="26"/>
          <w:szCs w:val="26"/>
        </w:rPr>
        <w:t xml:space="preserve">Lower priority</w:t>
      </w:r>
    </w:p>
    <w:p>
      <w:pPr>
        <w:pStyle w:val="Heading3"/>
        <w:spacing w:after="60" w:before="180"/>
      </w:pPr>
      <w:r>
        <w:rPr>
          <w:rFonts w:ascii="Arial" w:cs="Arial" w:eastAsia="Arial" w:hAnsi="Arial"/>
          <w:b/>
          <w:bCs/>
          <w:color w:val="3B6D11"/>
          <w:sz w:val="22"/>
          <w:szCs w:val="22"/>
        </w:rPr>
        <w:t xml:space="preserve">Add a self-hosting orientation page</w:t>
      </w:r>
    </w:p>
    <w:p>
      <w:pPr>
        <w:spacing w:after="120" w:before="60"/>
      </w:pPr>
      <w:r>
        <w:rPr>
          <w:rFonts w:ascii="Arial" w:cs="Arial" w:eastAsia="Arial" w:hAnsi="Arial"/>
          <w:sz w:val="22"/>
          <w:szCs w:val="22"/>
        </w:rPr>
        <w:t xml:space="preserve">The sovereign deployment homepage entry point requires a landing page in Models &gt; Self-hosting &gt; Overview. This should answer: who this is for, which models are available for self-hosting, what the deployment options are, and how Build guides apply when pointing at your own endpoint.</w:t>
      </w:r>
    </w:p>
    <w:p>
      <w:pPr>
        <w:spacing w:after="0" w:before="60"/>
      </w:pPr>
      <w:r>
        <w:t xml:space="preserve"/>
      </w:r>
    </w:p>
    <w:p>
      <w:pPr>
        <w:pStyle w:val="Heading3"/>
        <w:spacing w:after="60" w:before="180"/>
      </w:pPr>
      <w:r>
        <w:rPr>
          <w:rFonts w:ascii="Arial" w:cs="Arial" w:eastAsia="Arial" w:hAnsi="Arial"/>
          <w:b/>
          <w:bCs/>
          <w:color w:val="3B6D11"/>
          <w:sz w:val="22"/>
          <w:szCs w:val="22"/>
        </w:rPr>
        <w:t xml:space="preserve">Add multilingual capability documentation</w:t>
      </w:r>
    </w:p>
    <w:p>
      <w:pPr>
        <w:spacing w:after="120" w:before="60"/>
      </w:pPr>
      <w:r>
        <w:rPr>
          <w:rFonts w:ascii="Arial" w:cs="Arial" w:eastAsia="Arial" w:hAnsi="Arial"/>
          <w:sz w:val="22"/>
          <w:szCs w:val="22"/>
        </w:rPr>
        <w:t xml:space="preserve">Multilingual strengths — Saba for Arabic and Middle Eastern markets, strong general multilingual performance — are not currently surfaced in the documentation. A multilingual capability page in Build, or multilingual tags on relevant model cards, would serve non-English markets.</w:t>
      </w:r>
    </w:p>
    <w:p>
      <w:pPr>
        <w:spacing w:after="0" w:before="60"/>
      </w:pPr>
      <w:r>
        <w:t xml:space="preserve"/>
      </w:r>
    </w:p>
    <w:p>
      <w:pPr>
        <w:pStyle w:val="Heading3"/>
        <w:spacing w:after="60" w:before="180"/>
      </w:pPr>
      <w:r>
        <w:rPr>
          <w:rFonts w:ascii="Arial" w:cs="Arial" w:eastAsia="Arial" w:hAnsi="Arial"/>
          <w:b/>
          <w:bCs/>
          <w:color w:val="3B6D11"/>
          <w:sz w:val="22"/>
          <w:szCs w:val="22"/>
        </w:rPr>
        <w:t xml:space="preserve">Retire the Developers section</w:t>
      </w:r>
    </w:p>
    <w:p>
      <w:pPr>
        <w:spacing w:after="120" w:before="60"/>
      </w:pPr>
      <w:r>
        <w:rPr>
          <w:rFonts w:ascii="Arial" w:cs="Arial" w:eastAsia="Arial" w:hAnsi="Arial"/>
          <w:sz w:val="22"/>
          <w:szCs w:val="22"/>
        </w:rPr>
        <w:t xml:space="preserve">Once its content is rehomed — quickstarts to Get Started, SDKs and reference material to Reference, cookbooks to the Cookbooks section — the Developers top-level nav item has no remaining purpose and should be retired.</w:t>
      </w:r>
    </w:p>
    <w:p>
      <w:r>
        <w:br w:type="page"/>
      </w:r>
    </w:p>
    <w:p>
      <w:pPr>
        <w:pStyle w:val="Heading1"/>
        <w:pBdr>
          <w:bottom w:val="single" w:color="1D5FAA" w:sz="4" w:space="4"/>
        </w:pBdr>
        <w:spacing w:after="120" w:before="360"/>
      </w:pPr>
      <w:r>
        <w:rPr>
          <w:rFonts w:ascii="Arial" w:cs="Arial" w:eastAsia="Arial" w:hAnsi="Arial"/>
          <w:b/>
          <w:bCs/>
          <w:color w:val="1D5FAA"/>
          <w:sz w:val="32"/>
          <w:szCs w:val="32"/>
        </w:rPr>
        <w:t xml:space="preserve">10. 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79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sz w:val="22"/>
                <w:szCs w:val="22"/>
              </w:rPr>
              <w:t xml:space="preserve">Actions</w:t>
            </w:r>
          </w:p>
        </w:tc>
      </w:tr>
      <w:tr>
        <w:tc>
          <w:tcPr>
            <w:tcW w:type="dxa" w:w="1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1
Content</w:t>
            </w:r>
          </w:p>
        </w:tc>
        <w:tc>
          <w:tcPr>
            <w:tcW w:type="dxa" w:w="7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Rehome Developers section content to Reference and Cookbooks. Establish canonical URLs for duplicate quickstarts with 301 redirects. Retire legacy capability URLs with redirects. Move Observability pages to Build &gt; Evaluate and Ship.</w:t>
            </w:r>
          </w:p>
        </w:tc>
      </w:tr>
      <w:tr>
        <w:tc>
          <w:tcPr>
            <w:tcW w:type="dxa" w:w="1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2
Structure</w:t>
            </w:r>
          </w:p>
        </w:tc>
        <w:tc>
          <w:tcPr>
            <w:tcW w:type="dxa" w:w="7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Separate Studio API task guides (Build) from Studio Console UI docs (Platform). Move Models &gt; deployment content into Models &gt; Self-hosting with visual divider. Create sovereign deployment orientation page. Establish Cookbooks as standalone section with topic taxonomy mirroring Build.</w:t>
            </w:r>
          </w:p>
        </w:tc>
      </w:tr>
      <w:tr>
        <w:tc>
          <w:tcPr>
            <w:tcW w:type="dxa" w:w="1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3
Product</w:t>
            </w:r>
          </w:p>
        </w:tc>
        <w:tc>
          <w:tcPr>
            <w:tcW w:type="dxa" w:w="7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Add use case tagging to documentation platform. Build use case filter on Build landing page. Add inline cookbook surfacing to Build pages. Update homepage with four persona entry points. Ensure Cookbooks utility link appears in doc header. Strengthen Admin visual separation in product switcher.</w:t>
            </w:r>
          </w:p>
        </w:tc>
      </w:tr>
      <w:tr>
        <w:tc>
          <w:tcPr>
            <w:tcW w:type="dxa" w:w="14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4
Enhance</w:t>
            </w:r>
          </w:p>
        </w:tc>
        <w:tc>
          <w:tcPr>
            <w:tcW w:type="dxa" w:w="79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sz w:val="22"/>
                <w:szCs w:val="22"/>
              </w:rPr>
              <w:t xml:space="preserve">Add multilingual capability page. Complete use case filtering across Build and Cookbooks. Add model availability information to self-hosting overview. Retire Developers section once content is fully rehomed.</w:t>
            </w:r>
          </w:p>
        </w:tc>
      </w:tr>
    </w:tbl>
    <w:p>
      <w:pPr>
        <w:spacing w:after="0" w:before="240"/>
      </w:pPr>
      <w:r>
        <w:t xml:space="preserve"/>
      </w:r>
    </w:p>
    <w:p>
      <w:pPr>
        <w:pBdr>
          <w:top w:val="single" w:color="E0DDD6" w:sz="4" w:space="8"/>
        </w:pBdr>
        <w:spacing w:after="0" w:before="240"/>
      </w:pPr>
      <w:r>
        <w:rPr>
          <w:rFonts w:ascii="Arial" w:cs="Arial" w:eastAsia="Arial" w:hAnsi="Arial"/>
          <w:i/>
          <w:iCs/>
          <w:color w:val="888880"/>
          <w:sz w:val="18"/>
          <w:szCs w:val="18"/>
        </w:rPr>
        <w:t xml:space="preserve">Mistral AI Documentation — Information Architecture Recommendations. Prepared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6" w:sz="4" w:space="4"/>
      </w:pBdr>
      <w:jc w:val="right"/>
    </w:pPr>
    <w:r>
      <w:rPr>
        <w:rFonts w:ascii="Arial" w:cs="Arial" w:eastAsia="Arial" w:hAnsi="Arial"/>
        <w:color w:val="888880"/>
        <w:sz w:val="18"/>
        <w:szCs w:val="18"/>
      </w:rPr>
      <w:t xml:space="preserve">Page </w:t>
    </w:r>
    <w:r>
      <w:rPr>
        <w:rFonts w:ascii="Arial" w:cs="Arial" w:eastAsia="Arial" w:hAnsi="Arial"/>
        <w:color w:val="8888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6" w:sz="4" w:space="4"/>
      </w:pBdr>
    </w:pPr>
    <w:r>
      <w:rPr>
        <w:rFonts w:ascii="Arial" w:cs="Arial" w:eastAsia="Arial" w:hAnsi="Arial"/>
        <w:color w:val="888880"/>
        <w:sz w:val="18"/>
        <w:szCs w:val="18"/>
      </w:rPr>
      <w:t xml:space="preserve">Mistral AI Documentation — Information Architecture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2026-04-20T11:41:03.688Z</dcterms:created>
  <dcterms:modified xsi:type="dcterms:W3CDTF">2026-04-20T11:41:03.689Z</dcterms:modified>
</cp:coreProperties>
</file>

<file path=docProps/custom.xml><?xml version="1.0" encoding="utf-8"?>
<Properties xmlns="http://schemas.openxmlformats.org/officeDocument/2006/custom-properties" xmlns:vt="http://schemas.openxmlformats.org/officeDocument/2006/docPropsVTypes"/>
</file>